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3F462" w14:textId="77777777" w:rsidR="00547308" w:rsidRPr="00AC4C33" w:rsidRDefault="00547308" w:rsidP="00547308">
      <w:pPr>
        <w:spacing w:after="0" w:line="360" w:lineRule="auto"/>
        <w:jc w:val="center"/>
        <w:rPr>
          <w:rFonts w:ascii="Arial" w:hAnsi="Arial" w:cs="Arial"/>
          <w:b/>
          <w:sz w:val="24"/>
          <w:szCs w:val="24"/>
        </w:rPr>
      </w:pPr>
      <w:bookmarkStart w:id="0" w:name="_GoBack"/>
      <w:bookmarkEnd w:id="0"/>
      <w:r w:rsidRPr="00AC4C33">
        <w:rPr>
          <w:rFonts w:ascii="Arial" w:hAnsi="Arial" w:cs="Arial"/>
          <w:b/>
          <w:sz w:val="24"/>
          <w:szCs w:val="24"/>
        </w:rPr>
        <w:t>PARECER JURÍDICO</w:t>
      </w:r>
      <w:bookmarkStart w:id="1" w:name="_Hlk127267861"/>
      <w:r w:rsidRPr="00AC4C33">
        <w:rPr>
          <w:rFonts w:ascii="Arial" w:hAnsi="Arial" w:cs="Arial"/>
          <w:b/>
          <w:sz w:val="24"/>
          <w:szCs w:val="24"/>
        </w:rPr>
        <w:t xml:space="preserve"> Nº 01/2024</w:t>
      </w:r>
    </w:p>
    <w:p w14:paraId="38F3438C" w14:textId="77777777" w:rsidR="00547308" w:rsidRPr="00AC4C33" w:rsidRDefault="00547308" w:rsidP="00547308">
      <w:pPr>
        <w:spacing w:after="0" w:line="360" w:lineRule="auto"/>
        <w:jc w:val="center"/>
        <w:rPr>
          <w:rFonts w:ascii="Arial" w:hAnsi="Arial" w:cs="Arial"/>
          <w:b/>
          <w:sz w:val="26"/>
          <w:szCs w:val="26"/>
        </w:rPr>
      </w:pPr>
    </w:p>
    <w:p w14:paraId="67732A93" w14:textId="77777777" w:rsidR="00547308" w:rsidRDefault="00547308" w:rsidP="00547308">
      <w:pPr>
        <w:spacing w:after="0" w:line="360" w:lineRule="auto"/>
        <w:jc w:val="both"/>
        <w:rPr>
          <w:rFonts w:ascii="Arial" w:hAnsi="Arial" w:cs="Arial"/>
          <w:bCs/>
          <w:sz w:val="24"/>
          <w:szCs w:val="24"/>
        </w:rPr>
      </w:pPr>
      <w:bookmarkStart w:id="2" w:name="_Hlk128486713"/>
      <w:r w:rsidRPr="00AC4C33">
        <w:rPr>
          <w:rFonts w:ascii="Arial" w:hAnsi="Arial" w:cs="Arial"/>
          <w:b/>
          <w:sz w:val="24"/>
          <w:szCs w:val="24"/>
        </w:rPr>
        <w:t xml:space="preserve">AUTOR: </w:t>
      </w:r>
      <w:r w:rsidRPr="00AC4C33">
        <w:rPr>
          <w:rFonts w:ascii="Arial" w:hAnsi="Arial" w:cs="Arial"/>
          <w:bCs/>
          <w:sz w:val="24"/>
          <w:szCs w:val="24"/>
        </w:rPr>
        <w:t>Câmara Municipal de Pedra Bela – Vanderlei Lopes da Silva (Presidente do Poder Legislativo).</w:t>
      </w:r>
    </w:p>
    <w:p w14:paraId="483525A4" w14:textId="77777777" w:rsidR="00547308" w:rsidRPr="00AC4C33" w:rsidRDefault="00547308" w:rsidP="00547308">
      <w:pPr>
        <w:spacing w:after="0" w:line="360" w:lineRule="auto"/>
        <w:jc w:val="both"/>
        <w:rPr>
          <w:rFonts w:ascii="Arial" w:hAnsi="Arial" w:cs="Arial"/>
          <w:bCs/>
          <w:sz w:val="24"/>
          <w:szCs w:val="24"/>
        </w:rPr>
      </w:pPr>
    </w:p>
    <w:p w14:paraId="0CA13B0F" w14:textId="467BEA7D" w:rsidR="00547308" w:rsidRPr="00AC4C33" w:rsidRDefault="00547308" w:rsidP="00547308">
      <w:pPr>
        <w:spacing w:after="0" w:line="360" w:lineRule="auto"/>
        <w:jc w:val="both"/>
        <w:rPr>
          <w:rFonts w:ascii="Arial" w:hAnsi="Arial" w:cs="Arial"/>
          <w:b/>
          <w:sz w:val="24"/>
          <w:szCs w:val="24"/>
        </w:rPr>
      </w:pPr>
      <w:bookmarkStart w:id="3" w:name="_Hlk127267664"/>
      <w:bookmarkEnd w:id="1"/>
      <w:r w:rsidRPr="00AC4C33">
        <w:rPr>
          <w:rFonts w:ascii="Arial" w:hAnsi="Arial" w:cs="Arial"/>
          <w:b/>
          <w:sz w:val="24"/>
          <w:szCs w:val="24"/>
        </w:rPr>
        <w:t xml:space="preserve">ASSUNTO: </w:t>
      </w:r>
      <w:bookmarkEnd w:id="2"/>
      <w:r w:rsidRPr="00AC4C33">
        <w:rPr>
          <w:rFonts w:ascii="Arial" w:hAnsi="Arial" w:cs="Arial"/>
          <w:sz w:val="24"/>
          <w:szCs w:val="24"/>
        </w:rPr>
        <w:t>Dispõe sobre a alteração dos Anexos II e VI, ambos da Resolução de n° 01/2023 e dá outras providências.</w:t>
      </w:r>
    </w:p>
    <w:p w14:paraId="2063624D" w14:textId="77777777" w:rsidR="00547308" w:rsidRPr="00AC4C33" w:rsidRDefault="00547308" w:rsidP="00547308">
      <w:pPr>
        <w:spacing w:after="0" w:line="360" w:lineRule="auto"/>
        <w:jc w:val="both"/>
        <w:rPr>
          <w:rFonts w:ascii="Arial" w:hAnsi="Arial" w:cs="Arial"/>
          <w:b/>
          <w:sz w:val="24"/>
          <w:szCs w:val="24"/>
        </w:rPr>
      </w:pPr>
    </w:p>
    <w:p w14:paraId="1FBEF220" w14:textId="77777777" w:rsidR="00547308" w:rsidRPr="00F128E0" w:rsidRDefault="00547308" w:rsidP="00547308">
      <w:pPr>
        <w:spacing w:after="0" w:line="360" w:lineRule="auto"/>
        <w:jc w:val="center"/>
        <w:rPr>
          <w:rFonts w:ascii="Arial" w:hAnsi="Arial" w:cs="Arial"/>
          <w:b/>
          <w:sz w:val="24"/>
          <w:szCs w:val="24"/>
        </w:rPr>
      </w:pPr>
      <w:r w:rsidRPr="00F128E0">
        <w:rPr>
          <w:rFonts w:ascii="Arial" w:hAnsi="Arial" w:cs="Arial"/>
          <w:b/>
          <w:sz w:val="24"/>
          <w:szCs w:val="24"/>
        </w:rPr>
        <w:t>I</w:t>
      </w:r>
      <w:r>
        <w:rPr>
          <w:rFonts w:ascii="Arial" w:hAnsi="Arial" w:cs="Arial"/>
          <w:b/>
          <w:sz w:val="24"/>
          <w:szCs w:val="24"/>
        </w:rPr>
        <w:t xml:space="preserve">- </w:t>
      </w:r>
      <w:r w:rsidRPr="00F128E0">
        <w:rPr>
          <w:rFonts w:ascii="Arial" w:hAnsi="Arial" w:cs="Arial"/>
          <w:b/>
          <w:sz w:val="24"/>
          <w:szCs w:val="24"/>
        </w:rPr>
        <w:t>RELATÓRIO</w:t>
      </w:r>
    </w:p>
    <w:p w14:paraId="7B5B7A68" w14:textId="77777777" w:rsidR="00547308" w:rsidRDefault="00547308" w:rsidP="00547308">
      <w:pPr>
        <w:spacing w:after="0" w:line="360" w:lineRule="auto"/>
        <w:rPr>
          <w:rFonts w:ascii="Arial" w:hAnsi="Arial" w:cs="Arial"/>
          <w:b/>
          <w:sz w:val="24"/>
          <w:szCs w:val="24"/>
          <w:u w:val="single"/>
        </w:rPr>
      </w:pPr>
    </w:p>
    <w:p w14:paraId="7F73DE3D" w14:textId="77777777" w:rsidR="00547308" w:rsidRDefault="00547308" w:rsidP="00547308">
      <w:pPr>
        <w:spacing w:line="360" w:lineRule="auto"/>
        <w:jc w:val="both"/>
        <w:rPr>
          <w:rFonts w:ascii="Arial" w:hAnsi="Arial" w:cs="Arial"/>
          <w:sz w:val="24"/>
          <w:szCs w:val="24"/>
        </w:rPr>
      </w:pPr>
      <w:r w:rsidRPr="00DD1B41">
        <w:rPr>
          <w:rFonts w:ascii="Arial" w:hAnsi="Arial" w:cs="Arial"/>
          <w:b/>
          <w:sz w:val="24"/>
          <w:szCs w:val="24"/>
        </w:rPr>
        <w:tab/>
      </w:r>
      <w:r w:rsidRPr="00AC4C33">
        <w:rPr>
          <w:rFonts w:ascii="Arial" w:hAnsi="Arial" w:cs="Arial"/>
          <w:sz w:val="24"/>
          <w:szCs w:val="24"/>
        </w:rPr>
        <w:t xml:space="preserve">Trata-se de </w:t>
      </w:r>
      <w:r>
        <w:rPr>
          <w:rFonts w:ascii="Arial" w:hAnsi="Arial" w:cs="Arial"/>
          <w:sz w:val="24"/>
          <w:szCs w:val="24"/>
        </w:rPr>
        <w:t xml:space="preserve">solicitação de parecer jurídico </w:t>
      </w:r>
      <w:r w:rsidRPr="00AC4C33">
        <w:rPr>
          <w:rFonts w:ascii="Arial" w:hAnsi="Arial" w:cs="Arial"/>
          <w:sz w:val="24"/>
          <w:szCs w:val="24"/>
        </w:rPr>
        <w:t>realizada pela presidência des</w:t>
      </w:r>
      <w:r>
        <w:rPr>
          <w:rFonts w:ascii="Arial" w:hAnsi="Arial" w:cs="Arial"/>
          <w:sz w:val="24"/>
          <w:szCs w:val="24"/>
        </w:rPr>
        <w:t>s</w:t>
      </w:r>
      <w:r w:rsidRPr="00AC4C33">
        <w:rPr>
          <w:rFonts w:ascii="Arial" w:hAnsi="Arial" w:cs="Arial"/>
          <w:sz w:val="24"/>
          <w:szCs w:val="24"/>
        </w:rPr>
        <w:t>a Casa Legislativ</w:t>
      </w:r>
      <w:r>
        <w:rPr>
          <w:rFonts w:ascii="Arial" w:hAnsi="Arial" w:cs="Arial"/>
          <w:sz w:val="24"/>
          <w:szCs w:val="24"/>
        </w:rPr>
        <w:t xml:space="preserve">a </w:t>
      </w:r>
      <w:r w:rsidRPr="00AC4C33">
        <w:rPr>
          <w:rFonts w:ascii="Arial" w:hAnsi="Arial" w:cs="Arial"/>
          <w:sz w:val="24"/>
          <w:szCs w:val="24"/>
        </w:rPr>
        <w:t>acerca da lisura do Projeto de Resolução 01/2024 que “Dispõe sobre a alteração dos Anexos II e VI, ambos da Resolução de n° 01/2023 e dá outras providências”.</w:t>
      </w:r>
    </w:p>
    <w:p w14:paraId="1B21D11C"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r>
      <w:r w:rsidRPr="00AC4C33">
        <w:rPr>
          <w:rFonts w:ascii="Arial" w:hAnsi="Arial" w:cs="Arial"/>
          <w:sz w:val="24"/>
          <w:szCs w:val="24"/>
        </w:rPr>
        <w:t xml:space="preserve">Insta salientar que a </w:t>
      </w:r>
      <w:r w:rsidRPr="00AC4C33">
        <w:rPr>
          <w:rFonts w:ascii="Arial" w:hAnsi="Arial" w:cs="Arial"/>
          <w:b/>
          <w:bCs/>
          <w:sz w:val="24"/>
          <w:szCs w:val="24"/>
        </w:rPr>
        <w:t>Resolução de nº 01/2023</w:t>
      </w:r>
      <w:r>
        <w:rPr>
          <w:rFonts w:ascii="Arial" w:hAnsi="Arial" w:cs="Arial"/>
          <w:sz w:val="24"/>
          <w:szCs w:val="24"/>
        </w:rPr>
        <w:t xml:space="preserve"> regulamentou o quadro de pessoal da Câmara Municipal de Pedra Bela e que,  </w:t>
      </w:r>
      <w:r w:rsidRPr="00AC4C33">
        <w:rPr>
          <w:rFonts w:ascii="Arial" w:hAnsi="Arial" w:cs="Arial"/>
          <w:sz w:val="24"/>
          <w:szCs w:val="24"/>
        </w:rPr>
        <w:t>a Lei Complementar de nº 172/2023 tratou sobre os salários, vencimentos, adicionais e retribuições pecuniárias do Quadro Permanente de Pessoal da Câmara do Município de Pedra Bela - SP, e dá outras providências".</w:t>
      </w:r>
    </w:p>
    <w:p w14:paraId="7B5FD7E4"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No objetivo de </w:t>
      </w:r>
      <w:r w:rsidRPr="00AC4C33">
        <w:rPr>
          <w:rFonts w:ascii="Arial" w:hAnsi="Arial" w:cs="Arial"/>
          <w:sz w:val="24"/>
          <w:szCs w:val="24"/>
        </w:rPr>
        <w:t xml:space="preserve">obter </w:t>
      </w:r>
      <w:r>
        <w:rPr>
          <w:rFonts w:ascii="Arial" w:hAnsi="Arial" w:cs="Arial"/>
          <w:sz w:val="24"/>
          <w:szCs w:val="24"/>
        </w:rPr>
        <w:t xml:space="preserve">a </w:t>
      </w:r>
      <w:r w:rsidRPr="00AC4C33">
        <w:rPr>
          <w:rFonts w:ascii="Arial" w:hAnsi="Arial" w:cs="Arial"/>
          <w:sz w:val="24"/>
          <w:szCs w:val="24"/>
        </w:rPr>
        <w:t>manifestação quanto aos aspectos de legalidade, constitucionalidade, juridicidade e técnica legislativa</w:t>
      </w:r>
      <w:r>
        <w:rPr>
          <w:rFonts w:ascii="Arial" w:hAnsi="Arial" w:cs="Arial"/>
          <w:sz w:val="24"/>
          <w:szCs w:val="24"/>
        </w:rPr>
        <w:t xml:space="preserve"> os </w:t>
      </w:r>
      <w:bookmarkEnd w:id="3"/>
      <w:r w:rsidRPr="00AC4C33">
        <w:rPr>
          <w:rFonts w:ascii="Arial" w:hAnsi="Arial" w:cs="Arial"/>
          <w:sz w:val="24"/>
          <w:szCs w:val="24"/>
        </w:rPr>
        <w:t xml:space="preserve">autos </w:t>
      </w:r>
      <w:r>
        <w:rPr>
          <w:rFonts w:ascii="Arial" w:hAnsi="Arial" w:cs="Arial"/>
          <w:sz w:val="24"/>
          <w:szCs w:val="24"/>
        </w:rPr>
        <w:t xml:space="preserve">foram encaminhados a essa Procuradoria Jurídica para a emissão do </w:t>
      </w:r>
      <w:r w:rsidRPr="00AC4C33">
        <w:rPr>
          <w:rFonts w:ascii="Arial" w:hAnsi="Arial" w:cs="Arial"/>
          <w:sz w:val="24"/>
          <w:szCs w:val="24"/>
        </w:rPr>
        <w:t>parecer</w:t>
      </w:r>
      <w:r>
        <w:rPr>
          <w:rFonts w:ascii="Arial" w:hAnsi="Arial" w:cs="Arial"/>
          <w:sz w:val="24"/>
          <w:szCs w:val="24"/>
        </w:rPr>
        <w:t xml:space="preserve"> jurídico, com amparo na resolução de nº 02/2023, em especial em seu artigo 7º que trata das atribuições dessa Procuradoria Jurídica.</w:t>
      </w:r>
    </w:p>
    <w:p w14:paraId="26EA32ED"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É o relatório.</w:t>
      </w:r>
      <w:r>
        <w:rPr>
          <w:rFonts w:ascii="Arial" w:hAnsi="Arial" w:cs="Arial"/>
          <w:sz w:val="24"/>
          <w:szCs w:val="24"/>
        </w:rPr>
        <w:tab/>
      </w:r>
    </w:p>
    <w:p w14:paraId="694DF709" w14:textId="7D126A10" w:rsidR="00547308" w:rsidRPr="00AC4C33" w:rsidRDefault="00547308" w:rsidP="00547308">
      <w:pPr>
        <w:spacing w:after="0" w:line="360" w:lineRule="auto"/>
        <w:jc w:val="center"/>
        <w:rPr>
          <w:rFonts w:ascii="Arial" w:hAnsi="Arial" w:cs="Arial"/>
          <w:sz w:val="24"/>
          <w:szCs w:val="24"/>
        </w:rPr>
      </w:pPr>
      <w:r w:rsidRPr="00F128E0">
        <w:rPr>
          <w:rFonts w:ascii="Arial" w:hAnsi="Arial" w:cs="Arial"/>
          <w:b/>
          <w:sz w:val="24"/>
          <w:szCs w:val="24"/>
        </w:rPr>
        <w:t>I</w:t>
      </w:r>
      <w:r>
        <w:rPr>
          <w:rFonts w:ascii="Arial" w:hAnsi="Arial" w:cs="Arial"/>
          <w:b/>
          <w:sz w:val="24"/>
          <w:szCs w:val="24"/>
        </w:rPr>
        <w:t>I-FUNDAMENTAÇAO JURÍDICA</w:t>
      </w:r>
      <w:r>
        <w:rPr>
          <w:rFonts w:ascii="Arial" w:hAnsi="Arial" w:cs="Arial"/>
          <w:b/>
          <w:sz w:val="24"/>
          <w:szCs w:val="24"/>
        </w:rPr>
        <w:tab/>
      </w:r>
    </w:p>
    <w:p w14:paraId="6F0AF60D"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r>
      <w:r w:rsidRPr="00AC4C33">
        <w:rPr>
          <w:rFonts w:ascii="Arial" w:hAnsi="Arial" w:cs="Arial"/>
          <w:sz w:val="24"/>
          <w:szCs w:val="24"/>
        </w:rPr>
        <w:t xml:space="preserve">Inicialmente, cumpre registar que as manifestações jurídicas são </w:t>
      </w:r>
      <w:r>
        <w:rPr>
          <w:rFonts w:ascii="Arial" w:hAnsi="Arial" w:cs="Arial"/>
          <w:sz w:val="24"/>
          <w:szCs w:val="24"/>
        </w:rPr>
        <w:t>opinativas.</w:t>
      </w:r>
    </w:p>
    <w:p w14:paraId="128E4324"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lastRenderedPageBreak/>
        <w:tab/>
        <w:t xml:space="preserve">De acordo com o artigo </w:t>
      </w:r>
      <w:r w:rsidRPr="00DA5200">
        <w:rPr>
          <w:rFonts w:ascii="Arial" w:hAnsi="Arial" w:cs="Arial"/>
          <w:sz w:val="24"/>
          <w:szCs w:val="24"/>
        </w:rPr>
        <w:t xml:space="preserve">12, § 1º, da Lei Orgânica do Município de Pedra Bela, </w:t>
      </w:r>
      <w:r>
        <w:rPr>
          <w:rFonts w:ascii="Arial" w:hAnsi="Arial" w:cs="Arial"/>
          <w:sz w:val="24"/>
          <w:szCs w:val="24"/>
        </w:rPr>
        <w:t>no exercício de sua competência privativa a</w:t>
      </w:r>
      <w:r w:rsidRPr="00DA5200">
        <w:rPr>
          <w:rFonts w:ascii="Arial" w:hAnsi="Arial" w:cs="Arial"/>
          <w:sz w:val="24"/>
          <w:szCs w:val="24"/>
        </w:rPr>
        <w:t xml:space="preserve"> Câmara </w:t>
      </w:r>
      <w:r>
        <w:rPr>
          <w:rFonts w:ascii="Arial" w:hAnsi="Arial" w:cs="Arial"/>
          <w:sz w:val="24"/>
          <w:szCs w:val="24"/>
        </w:rPr>
        <w:t xml:space="preserve">Municipal </w:t>
      </w:r>
      <w:r w:rsidRPr="00DA5200">
        <w:rPr>
          <w:rFonts w:ascii="Arial" w:hAnsi="Arial" w:cs="Arial"/>
          <w:sz w:val="24"/>
          <w:szCs w:val="24"/>
        </w:rPr>
        <w:t xml:space="preserve">deliberará </w:t>
      </w:r>
      <w:r w:rsidRPr="0068391A">
        <w:rPr>
          <w:rFonts w:ascii="Arial" w:hAnsi="Arial" w:cs="Arial"/>
          <w:b/>
          <w:bCs/>
          <w:sz w:val="24"/>
          <w:szCs w:val="24"/>
        </w:rPr>
        <w:t>mediante Resolução</w:t>
      </w:r>
      <w:r w:rsidRPr="00DA5200">
        <w:rPr>
          <w:rFonts w:ascii="Arial" w:hAnsi="Arial" w:cs="Arial"/>
          <w:sz w:val="24"/>
          <w:szCs w:val="24"/>
        </w:rPr>
        <w:t xml:space="preserve"> sobre assunto de sua economia interna e nos demais casos de sua competência privativa, por meio de Decreto Legislativo.</w:t>
      </w:r>
    </w:p>
    <w:p w14:paraId="76B27DA3"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Que o artigo 204, do Regimento Interno da Câmara Municipal de Pedra Bela assim conceitua </w:t>
      </w:r>
      <w:r w:rsidRPr="00EE356E">
        <w:rPr>
          <w:rFonts w:ascii="Arial" w:hAnsi="Arial" w:cs="Arial"/>
          <w:sz w:val="24"/>
          <w:szCs w:val="24"/>
        </w:rPr>
        <w:t>“Projeto de Resolução é a propositura destinada a regular assuntos de economia interna da Câmara, de natureza político</w:t>
      </w:r>
      <w:r>
        <w:rPr>
          <w:rFonts w:ascii="Arial" w:hAnsi="Arial" w:cs="Arial"/>
          <w:sz w:val="24"/>
          <w:szCs w:val="24"/>
        </w:rPr>
        <w:t>-</w:t>
      </w:r>
      <w:r w:rsidRPr="00EE356E">
        <w:rPr>
          <w:rFonts w:ascii="Arial" w:hAnsi="Arial" w:cs="Arial"/>
          <w:sz w:val="24"/>
          <w:szCs w:val="24"/>
        </w:rPr>
        <w:t>administrativa, e versando sobre a sua Secretaria Administrativa, a Mesa e os Vereadores”.</w:t>
      </w:r>
    </w:p>
    <w:p w14:paraId="388AD3F2"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Ressalta-se que, </w:t>
      </w:r>
      <w:r w:rsidRPr="00AC4C33">
        <w:rPr>
          <w:rFonts w:ascii="Arial" w:hAnsi="Arial" w:cs="Arial"/>
          <w:sz w:val="24"/>
          <w:szCs w:val="24"/>
        </w:rPr>
        <w:t>a elaboração legislativa exige</w:t>
      </w:r>
      <w:r>
        <w:rPr>
          <w:rFonts w:ascii="Arial" w:hAnsi="Arial" w:cs="Arial"/>
          <w:sz w:val="24"/>
          <w:szCs w:val="24"/>
        </w:rPr>
        <w:t xml:space="preserve"> a </w:t>
      </w:r>
      <w:r w:rsidRPr="00AC4C33">
        <w:rPr>
          <w:rFonts w:ascii="Arial" w:hAnsi="Arial" w:cs="Arial"/>
          <w:sz w:val="24"/>
          <w:szCs w:val="24"/>
        </w:rPr>
        <w:t>observância de procedimentos e normas redacionais específicas, requisitos que se inserem no âmbito de abrangência da “técnica legislativa”</w:t>
      </w:r>
      <w:r>
        <w:rPr>
          <w:rFonts w:ascii="Arial" w:hAnsi="Arial" w:cs="Arial"/>
          <w:sz w:val="24"/>
          <w:szCs w:val="24"/>
        </w:rPr>
        <w:t xml:space="preserve">. E no que se refere a esse aspecto, o </w:t>
      </w:r>
      <w:r w:rsidRPr="00AC4C33">
        <w:rPr>
          <w:rFonts w:ascii="Arial" w:hAnsi="Arial" w:cs="Arial"/>
          <w:sz w:val="24"/>
          <w:szCs w:val="24"/>
        </w:rPr>
        <w:t xml:space="preserve">Projeto de Resolução </w:t>
      </w:r>
      <w:r>
        <w:rPr>
          <w:rFonts w:ascii="Arial" w:hAnsi="Arial" w:cs="Arial"/>
          <w:sz w:val="24"/>
          <w:szCs w:val="24"/>
        </w:rPr>
        <w:t xml:space="preserve">sob análise, </w:t>
      </w:r>
      <w:r w:rsidRPr="00AC4C33">
        <w:rPr>
          <w:rFonts w:ascii="Arial" w:hAnsi="Arial" w:cs="Arial"/>
          <w:sz w:val="24"/>
          <w:szCs w:val="24"/>
        </w:rPr>
        <w:t xml:space="preserve">não </w:t>
      </w:r>
      <w:r>
        <w:rPr>
          <w:rFonts w:ascii="Arial" w:hAnsi="Arial" w:cs="Arial"/>
          <w:sz w:val="24"/>
          <w:szCs w:val="24"/>
        </w:rPr>
        <w:t xml:space="preserve">apresentou </w:t>
      </w:r>
      <w:r w:rsidRPr="00AC4C33">
        <w:rPr>
          <w:rFonts w:ascii="Arial" w:hAnsi="Arial" w:cs="Arial"/>
          <w:sz w:val="24"/>
          <w:szCs w:val="24"/>
        </w:rPr>
        <w:t xml:space="preserve">inconsistências de redação, não </w:t>
      </w:r>
      <w:r>
        <w:rPr>
          <w:rFonts w:ascii="Arial" w:hAnsi="Arial" w:cs="Arial"/>
          <w:sz w:val="24"/>
          <w:szCs w:val="24"/>
        </w:rPr>
        <w:t xml:space="preserve">incorrendo, </w:t>
      </w:r>
      <w:r w:rsidRPr="00AC4C33">
        <w:rPr>
          <w:rFonts w:ascii="Arial" w:hAnsi="Arial" w:cs="Arial"/>
          <w:sz w:val="24"/>
          <w:szCs w:val="24"/>
        </w:rPr>
        <w:t xml:space="preserve">portanto, </w:t>
      </w:r>
      <w:r>
        <w:rPr>
          <w:rFonts w:ascii="Arial" w:hAnsi="Arial" w:cs="Arial"/>
          <w:sz w:val="24"/>
          <w:szCs w:val="24"/>
        </w:rPr>
        <w:t xml:space="preserve">em </w:t>
      </w:r>
      <w:r w:rsidRPr="00AC4C33">
        <w:rPr>
          <w:rFonts w:ascii="Arial" w:hAnsi="Arial" w:cs="Arial"/>
          <w:sz w:val="24"/>
          <w:szCs w:val="24"/>
        </w:rPr>
        <w:t>vícios quanto à técnica legislativa utilizada.</w:t>
      </w:r>
    </w:p>
    <w:p w14:paraId="40F1BCF6" w14:textId="77777777" w:rsidR="00547308" w:rsidRDefault="00547308" w:rsidP="00547308">
      <w:pPr>
        <w:spacing w:line="360" w:lineRule="auto"/>
        <w:jc w:val="both"/>
        <w:rPr>
          <w:rFonts w:ascii="Arial" w:hAnsi="Arial" w:cs="Arial"/>
          <w:color w:val="000000"/>
          <w:sz w:val="24"/>
          <w:szCs w:val="24"/>
        </w:rPr>
      </w:pPr>
      <w:r>
        <w:rPr>
          <w:rFonts w:ascii="Arial" w:hAnsi="Arial" w:cs="Arial"/>
          <w:sz w:val="24"/>
          <w:szCs w:val="24"/>
        </w:rPr>
        <w:tab/>
      </w:r>
      <w:r w:rsidRPr="00B173E1">
        <w:rPr>
          <w:rFonts w:ascii="Arial" w:hAnsi="Arial" w:cs="Arial"/>
          <w:sz w:val="24"/>
          <w:szCs w:val="24"/>
        </w:rPr>
        <w:t xml:space="preserve">No que tange </w:t>
      </w:r>
      <w:r w:rsidRPr="00B173E1">
        <w:rPr>
          <w:rFonts w:ascii="Arial" w:hAnsi="Arial" w:cs="Arial"/>
          <w:color w:val="000000"/>
          <w:sz w:val="24"/>
          <w:szCs w:val="24"/>
        </w:rPr>
        <w:t>à iniciativa para deflagrar o processo legislativo, a Lei Orgânica estabelece em seu art. 12, inciso III, que é prerrogativa da Câmara Municipal “</w:t>
      </w:r>
      <w:r w:rsidRPr="00B173E1">
        <w:rPr>
          <w:rFonts w:ascii="Arial" w:hAnsi="Arial" w:cs="Arial"/>
          <w:i/>
          <w:iCs/>
          <w:color w:val="000000"/>
          <w:sz w:val="24"/>
          <w:szCs w:val="24"/>
        </w:rPr>
        <w:t>dispor sobre a organização de sua secretaria, funcionamento, criação, transformação ou extinção de cargos, empregos e funções de seus serviços e fixação da respectiva remuneração observando os parâmetros estabelecidos na lei de diretrizes orçamentárias</w:t>
      </w:r>
      <w:r w:rsidRPr="00B173E1">
        <w:rPr>
          <w:rFonts w:ascii="Arial" w:hAnsi="Arial" w:cs="Arial"/>
          <w:color w:val="000000"/>
          <w:sz w:val="24"/>
          <w:szCs w:val="24"/>
        </w:rPr>
        <w:t>”.</w:t>
      </w:r>
    </w:p>
    <w:p w14:paraId="14EAFF3D" w14:textId="77777777" w:rsidR="00547308" w:rsidRDefault="00547308" w:rsidP="00547308">
      <w:pPr>
        <w:spacing w:line="360" w:lineRule="auto"/>
        <w:jc w:val="both"/>
        <w:rPr>
          <w:rFonts w:ascii="Arial" w:hAnsi="Arial" w:cs="Arial"/>
          <w:sz w:val="24"/>
          <w:szCs w:val="24"/>
        </w:rPr>
      </w:pPr>
      <w:r>
        <w:rPr>
          <w:rFonts w:ascii="Arial" w:hAnsi="Arial" w:cs="Arial"/>
          <w:color w:val="000000"/>
          <w:sz w:val="24"/>
          <w:szCs w:val="24"/>
        </w:rPr>
        <w:tab/>
        <w:t xml:space="preserve">Nos termos </w:t>
      </w:r>
      <w:r w:rsidRPr="00EE356E">
        <w:rPr>
          <w:rFonts w:ascii="Arial" w:hAnsi="Arial" w:cs="Arial"/>
          <w:sz w:val="24"/>
          <w:szCs w:val="24"/>
        </w:rPr>
        <w:t>§ 2º</w:t>
      </w:r>
      <w:r>
        <w:rPr>
          <w:rFonts w:ascii="Arial" w:hAnsi="Arial" w:cs="Arial"/>
          <w:sz w:val="24"/>
          <w:szCs w:val="24"/>
        </w:rPr>
        <w:t>, do artigo 204, do Regimento Interno da Câmara Municipal de Pedra Bela obtém-se que:</w:t>
      </w:r>
    </w:p>
    <w:p w14:paraId="164E80C8" w14:textId="77777777" w:rsidR="00547308" w:rsidRDefault="00547308" w:rsidP="00547308">
      <w:pPr>
        <w:spacing w:line="360" w:lineRule="auto"/>
        <w:ind w:left="2268"/>
        <w:jc w:val="both"/>
        <w:rPr>
          <w:rFonts w:ascii="Arial" w:hAnsi="Arial" w:cs="Arial"/>
          <w:sz w:val="20"/>
          <w:szCs w:val="20"/>
        </w:rPr>
      </w:pPr>
      <w:r w:rsidRPr="00EE356E">
        <w:rPr>
          <w:rFonts w:ascii="Arial" w:hAnsi="Arial" w:cs="Arial"/>
          <w:sz w:val="20"/>
          <w:szCs w:val="20"/>
        </w:rPr>
        <w:t xml:space="preserve">A iniciativa dos Projetos de Resolução poderá ser da Mesa, das Comissões </w:t>
      </w:r>
      <w:r w:rsidRPr="00EE356E">
        <w:rPr>
          <w:rFonts w:ascii="Arial" w:hAnsi="Arial" w:cs="Arial"/>
          <w:b/>
          <w:bCs/>
          <w:sz w:val="20"/>
          <w:szCs w:val="20"/>
        </w:rPr>
        <w:t>ou dos Vereadores</w:t>
      </w:r>
      <w:r w:rsidRPr="00EE356E">
        <w:rPr>
          <w:rFonts w:ascii="Arial" w:hAnsi="Arial" w:cs="Arial"/>
          <w:sz w:val="20"/>
          <w:szCs w:val="20"/>
        </w:rPr>
        <w:t>, sendo exclusiva da Comissão de Constituição, Justiça e Redação a iniciativa do projeto previsto no inciso III do parágrafo anterior e da Mesa no previsto no inciso IV.</w:t>
      </w:r>
      <w:r>
        <w:rPr>
          <w:rFonts w:ascii="Arial" w:hAnsi="Arial" w:cs="Arial"/>
          <w:sz w:val="20"/>
          <w:szCs w:val="20"/>
        </w:rPr>
        <w:t xml:space="preserve"> (Grifamos).</w:t>
      </w:r>
    </w:p>
    <w:p w14:paraId="5CAF4648" w14:textId="77777777" w:rsidR="00547308" w:rsidRDefault="00547308" w:rsidP="00547308">
      <w:pPr>
        <w:spacing w:line="360" w:lineRule="auto"/>
        <w:jc w:val="both"/>
        <w:rPr>
          <w:rFonts w:ascii="Arial" w:hAnsi="Arial" w:cs="Arial"/>
          <w:sz w:val="24"/>
          <w:szCs w:val="24"/>
        </w:rPr>
      </w:pPr>
      <w:r>
        <w:rPr>
          <w:rFonts w:ascii="Arial" w:hAnsi="Arial" w:cs="Arial"/>
          <w:color w:val="000000"/>
          <w:sz w:val="20"/>
          <w:szCs w:val="20"/>
        </w:rPr>
        <w:tab/>
      </w:r>
      <w:r w:rsidRPr="00B2472F">
        <w:rPr>
          <w:rFonts w:ascii="Arial" w:hAnsi="Arial" w:cs="Arial"/>
          <w:color w:val="000000"/>
          <w:sz w:val="24"/>
          <w:szCs w:val="24"/>
        </w:rPr>
        <w:t xml:space="preserve">Dessa forma, </w:t>
      </w:r>
      <w:r>
        <w:rPr>
          <w:rFonts w:ascii="Arial" w:hAnsi="Arial" w:cs="Arial"/>
          <w:color w:val="000000"/>
          <w:sz w:val="24"/>
          <w:szCs w:val="24"/>
        </w:rPr>
        <w:t xml:space="preserve">percebe-se que </w:t>
      </w:r>
      <w:r w:rsidRPr="00B2472F">
        <w:rPr>
          <w:rFonts w:ascii="Arial" w:hAnsi="Arial" w:cs="Arial"/>
          <w:sz w:val="24"/>
          <w:szCs w:val="24"/>
        </w:rPr>
        <w:t>não há nenhum vício de iniciativa no presente Projeto de Resolução.</w:t>
      </w:r>
    </w:p>
    <w:p w14:paraId="4B2818E3" w14:textId="77777777" w:rsidR="00547308" w:rsidRPr="00B2472F" w:rsidRDefault="00547308" w:rsidP="00547308">
      <w:pPr>
        <w:spacing w:line="360" w:lineRule="auto"/>
        <w:jc w:val="both"/>
        <w:rPr>
          <w:rFonts w:ascii="Arial" w:hAnsi="Arial" w:cs="Arial"/>
          <w:color w:val="000000"/>
          <w:sz w:val="24"/>
          <w:szCs w:val="24"/>
        </w:rPr>
      </w:pPr>
      <w:r>
        <w:rPr>
          <w:rFonts w:ascii="Arial" w:hAnsi="Arial" w:cs="Arial"/>
          <w:sz w:val="24"/>
          <w:szCs w:val="24"/>
        </w:rPr>
        <w:lastRenderedPageBreak/>
        <w:tab/>
        <w:t xml:space="preserve">Quanto ao </w:t>
      </w:r>
      <w:r w:rsidRPr="00B173E1">
        <w:rPr>
          <w:rFonts w:ascii="Arial" w:hAnsi="Arial" w:cs="Arial"/>
          <w:color w:val="000000"/>
          <w:sz w:val="24"/>
          <w:szCs w:val="24"/>
        </w:rPr>
        <w:t xml:space="preserve">mérito, o projeto traz </w:t>
      </w:r>
      <w:r>
        <w:rPr>
          <w:rFonts w:ascii="Arial" w:hAnsi="Arial" w:cs="Arial"/>
          <w:color w:val="000000"/>
          <w:sz w:val="24"/>
          <w:szCs w:val="24"/>
        </w:rPr>
        <w:t xml:space="preserve">a seguinte </w:t>
      </w:r>
      <w:r w:rsidRPr="00B173E1">
        <w:rPr>
          <w:rFonts w:ascii="Arial" w:hAnsi="Arial" w:cs="Arial"/>
          <w:color w:val="000000"/>
          <w:sz w:val="24"/>
          <w:szCs w:val="24"/>
        </w:rPr>
        <w:t>justificativa</w:t>
      </w:r>
      <w:r>
        <w:rPr>
          <w:rFonts w:ascii="Arial" w:hAnsi="Arial" w:cs="Arial"/>
          <w:color w:val="000000"/>
          <w:sz w:val="24"/>
          <w:szCs w:val="24"/>
        </w:rPr>
        <w:t xml:space="preserve"> “</w:t>
      </w:r>
      <w:r w:rsidRPr="00B2472F">
        <w:rPr>
          <w:rFonts w:ascii="Arial" w:hAnsi="Arial" w:cs="Arial"/>
          <w:bCs/>
          <w:iCs/>
          <w:sz w:val="24"/>
          <w:szCs w:val="24"/>
        </w:rPr>
        <w:t xml:space="preserve">a necessidade readequação a nomenclatura do Assessor Jurídico do Gabinete da Presidência para Assessor Parlamentar considerando que as atividades são político administrativas e poderão ser desenvolvidas não só ao Gabinete da Presidência, mas também aos demais vereadores </w:t>
      </w:r>
      <w:r>
        <w:rPr>
          <w:rFonts w:ascii="Arial" w:hAnsi="Arial" w:cs="Arial"/>
          <w:bCs/>
          <w:iCs/>
          <w:sz w:val="24"/>
          <w:szCs w:val="24"/>
        </w:rPr>
        <w:t>“.</w:t>
      </w:r>
    </w:p>
    <w:p w14:paraId="5C4FA969" w14:textId="77777777" w:rsidR="00547308" w:rsidRDefault="00547308" w:rsidP="00547308">
      <w:pPr>
        <w:spacing w:line="360" w:lineRule="auto"/>
        <w:jc w:val="both"/>
        <w:rPr>
          <w:rFonts w:ascii="Arial" w:hAnsi="Arial" w:cs="Arial"/>
          <w:bCs/>
          <w:iCs/>
          <w:sz w:val="24"/>
          <w:szCs w:val="24"/>
        </w:rPr>
      </w:pPr>
      <w:r>
        <w:rPr>
          <w:rFonts w:ascii="Arial" w:hAnsi="Arial" w:cs="Arial"/>
          <w:color w:val="000000"/>
          <w:sz w:val="24"/>
          <w:szCs w:val="24"/>
        </w:rPr>
        <w:tab/>
      </w:r>
      <w:r>
        <w:rPr>
          <w:rFonts w:ascii="Arial" w:hAnsi="Arial" w:cs="Arial"/>
          <w:sz w:val="24"/>
          <w:szCs w:val="24"/>
        </w:rPr>
        <w:t xml:space="preserve">No caso sob análise, verifica-se que a alteração proposta refere-se </w:t>
      </w:r>
      <w:proofErr w:type="gramStart"/>
      <w:r>
        <w:rPr>
          <w:rFonts w:ascii="Arial" w:hAnsi="Arial" w:cs="Arial"/>
          <w:sz w:val="24"/>
          <w:szCs w:val="24"/>
        </w:rPr>
        <w:t xml:space="preserve">à </w:t>
      </w:r>
      <w:r w:rsidRPr="00B2472F">
        <w:rPr>
          <w:rFonts w:ascii="Arial" w:hAnsi="Arial" w:cs="Arial"/>
          <w:bCs/>
          <w:iCs/>
          <w:sz w:val="24"/>
          <w:szCs w:val="24"/>
        </w:rPr>
        <w:t xml:space="preserve"> necessidade</w:t>
      </w:r>
      <w:proofErr w:type="gramEnd"/>
      <w:r w:rsidRPr="00B2472F">
        <w:rPr>
          <w:rFonts w:ascii="Arial" w:hAnsi="Arial" w:cs="Arial"/>
          <w:bCs/>
          <w:iCs/>
          <w:sz w:val="24"/>
          <w:szCs w:val="24"/>
        </w:rPr>
        <w:t xml:space="preserve"> </w:t>
      </w:r>
      <w:r>
        <w:rPr>
          <w:rFonts w:ascii="Arial" w:hAnsi="Arial" w:cs="Arial"/>
          <w:bCs/>
          <w:iCs/>
          <w:sz w:val="24"/>
          <w:szCs w:val="24"/>
        </w:rPr>
        <w:t xml:space="preserve">de </w:t>
      </w:r>
      <w:r w:rsidRPr="00B2472F">
        <w:rPr>
          <w:rFonts w:ascii="Arial" w:hAnsi="Arial" w:cs="Arial"/>
          <w:bCs/>
          <w:iCs/>
          <w:sz w:val="24"/>
          <w:szCs w:val="24"/>
        </w:rPr>
        <w:t xml:space="preserve">readequação </w:t>
      </w:r>
      <w:r>
        <w:rPr>
          <w:rFonts w:ascii="Arial" w:hAnsi="Arial" w:cs="Arial"/>
          <w:bCs/>
          <w:iCs/>
          <w:sz w:val="24"/>
          <w:szCs w:val="24"/>
        </w:rPr>
        <w:t>d</w:t>
      </w:r>
      <w:r w:rsidRPr="00B2472F">
        <w:rPr>
          <w:rFonts w:ascii="Arial" w:hAnsi="Arial" w:cs="Arial"/>
          <w:bCs/>
          <w:iCs/>
          <w:sz w:val="24"/>
          <w:szCs w:val="24"/>
        </w:rPr>
        <w:t xml:space="preserve">a nomenclatura do </w:t>
      </w:r>
      <w:r>
        <w:rPr>
          <w:rFonts w:ascii="Arial" w:hAnsi="Arial" w:cs="Arial"/>
          <w:bCs/>
          <w:iCs/>
          <w:sz w:val="24"/>
          <w:szCs w:val="24"/>
        </w:rPr>
        <w:t xml:space="preserve"> cargo público de provimento em comissão de </w:t>
      </w:r>
      <w:r w:rsidRPr="00B2472F">
        <w:rPr>
          <w:rFonts w:ascii="Arial" w:hAnsi="Arial" w:cs="Arial"/>
          <w:bCs/>
          <w:iCs/>
          <w:sz w:val="24"/>
          <w:szCs w:val="24"/>
        </w:rPr>
        <w:t>Assessor Jurídico do Gabinete da Presidência para Assessor Parlamentar considerando que as atividades poderão ser desenvolvidas não só ao Gabinete da Presidência, mas também aos demais vereadores</w:t>
      </w:r>
      <w:r>
        <w:rPr>
          <w:rFonts w:ascii="Arial" w:hAnsi="Arial" w:cs="Arial"/>
          <w:bCs/>
          <w:iCs/>
          <w:sz w:val="24"/>
          <w:szCs w:val="24"/>
        </w:rPr>
        <w:t>.</w:t>
      </w:r>
    </w:p>
    <w:p w14:paraId="7722FF07" w14:textId="77777777" w:rsidR="00547308" w:rsidRDefault="00547308" w:rsidP="00547308">
      <w:pPr>
        <w:spacing w:line="360" w:lineRule="auto"/>
        <w:jc w:val="both"/>
        <w:rPr>
          <w:rFonts w:ascii="Arial" w:hAnsi="Arial" w:cs="Arial"/>
          <w:sz w:val="24"/>
          <w:szCs w:val="24"/>
        </w:rPr>
      </w:pPr>
      <w:r>
        <w:rPr>
          <w:rFonts w:ascii="Arial" w:hAnsi="Arial" w:cs="Arial"/>
          <w:bCs/>
          <w:iCs/>
          <w:sz w:val="24"/>
          <w:szCs w:val="24"/>
        </w:rPr>
        <w:tab/>
        <w:t xml:space="preserve">Depreende-se do artigo 1º, do Projeto de Resolução em discussão que, com a alteração da nomenclatura para Assessor Parlamentar e com a extensão das atividades a serem desenvolvidas aos demais vereadores alterou-se também, de forma ampliativa, os requisitos para preenchimento do cargo, para fazer constar do Anexo II, da Resolução de n° 01/2023, aos seguintes requisitos: </w:t>
      </w:r>
      <w:r w:rsidRPr="00827D66">
        <w:rPr>
          <w:rFonts w:ascii="Arial" w:hAnsi="Arial" w:cs="Arial"/>
          <w:bCs/>
          <w:iCs/>
          <w:sz w:val="24"/>
          <w:szCs w:val="24"/>
        </w:rPr>
        <w:t>“</w:t>
      </w:r>
      <w:r w:rsidRPr="00827D66">
        <w:rPr>
          <w:rFonts w:ascii="Arial" w:hAnsi="Arial" w:cs="Arial"/>
          <w:sz w:val="24"/>
          <w:szCs w:val="24"/>
        </w:rPr>
        <w:t>Ensino Superior Completo Direito, Administração, Gestão Pública, Contabilidade com experiência mínima de 2 (dois) anos na Administração Pública comprovada”.</w:t>
      </w:r>
    </w:p>
    <w:p w14:paraId="149EA03D"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r>
      <w:r w:rsidRPr="007B16F2">
        <w:rPr>
          <w:rFonts w:ascii="Arial" w:hAnsi="Arial" w:cs="Arial"/>
          <w:sz w:val="24"/>
          <w:szCs w:val="24"/>
        </w:rPr>
        <w:t>Vale destacar que, no Anexo II, da Resolução de nº 01/2023 consta como requisito “Ensino Superior Completo Direito e experiência mínima de 2 (dois) anos na Administração Pública”.</w:t>
      </w:r>
    </w:p>
    <w:p w14:paraId="2475FED5"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Logo, observa-se  que o presente Projeto de Resolução 01/2024, sob análise ao estender </w:t>
      </w:r>
      <w:r>
        <w:rPr>
          <w:rFonts w:ascii="Arial" w:hAnsi="Arial" w:cs="Arial"/>
          <w:bCs/>
          <w:iCs/>
          <w:sz w:val="24"/>
          <w:szCs w:val="24"/>
        </w:rPr>
        <w:t xml:space="preserve">as atividades a serem desenvolvidas pelo Assessor Parlamentar aos demais vereadores e </w:t>
      </w:r>
      <w:bookmarkStart w:id="4" w:name="_Hlk161153674"/>
      <w:r>
        <w:rPr>
          <w:rFonts w:ascii="Arial" w:hAnsi="Arial" w:cs="Arial"/>
          <w:bCs/>
          <w:iCs/>
          <w:sz w:val="24"/>
          <w:szCs w:val="24"/>
        </w:rPr>
        <w:t>a</w:t>
      </w:r>
      <w:r>
        <w:rPr>
          <w:rFonts w:ascii="Arial" w:hAnsi="Arial" w:cs="Arial"/>
          <w:sz w:val="24"/>
          <w:szCs w:val="24"/>
        </w:rPr>
        <w:t xml:space="preserve">mpliar o acesso ao referido cargo àqueles que possuírem </w:t>
      </w:r>
      <w:r w:rsidRPr="00827D66">
        <w:rPr>
          <w:rFonts w:ascii="Arial" w:hAnsi="Arial" w:cs="Arial"/>
          <w:bCs/>
          <w:iCs/>
          <w:sz w:val="24"/>
          <w:szCs w:val="24"/>
        </w:rPr>
        <w:t>“</w:t>
      </w:r>
      <w:r w:rsidRPr="00827D66">
        <w:rPr>
          <w:rFonts w:ascii="Arial" w:hAnsi="Arial" w:cs="Arial"/>
          <w:sz w:val="24"/>
          <w:szCs w:val="24"/>
        </w:rPr>
        <w:t>Ensino Superior Completo Direito, Administração, Gestão Pública, Contabilidade com experiência mínima de 2 (dois) anos na Administração Pública comprovada”</w:t>
      </w:r>
      <w:r>
        <w:rPr>
          <w:rFonts w:ascii="Arial" w:hAnsi="Arial" w:cs="Arial"/>
          <w:sz w:val="24"/>
          <w:szCs w:val="24"/>
        </w:rPr>
        <w:t xml:space="preserve"> atende ao interesse público, pois, possibilitará o melhor assessoramento aos parlamentares, bem como, atenderá </w:t>
      </w:r>
      <w:r>
        <w:rPr>
          <w:rFonts w:ascii="Arial" w:hAnsi="Arial" w:cs="Arial"/>
          <w:sz w:val="24"/>
          <w:szCs w:val="24"/>
        </w:rPr>
        <w:lastRenderedPageBreak/>
        <w:t>à acessibilidade determinada pela  Constituição Federal de 1988, em seu artigo 37, Inciso I.</w:t>
      </w:r>
    </w:p>
    <w:bookmarkEnd w:id="4"/>
    <w:p w14:paraId="5DBDED78"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Vale lembrar que o referido cargo é de assessoramento e deve atender às disposições e deve observar as disposições do artigo </w:t>
      </w:r>
      <w:r w:rsidRPr="000E5B2E">
        <w:rPr>
          <w:rFonts w:ascii="Arial" w:hAnsi="Arial" w:cs="Arial"/>
          <w:sz w:val="24"/>
          <w:szCs w:val="24"/>
        </w:rPr>
        <w:t>37, Inciso V,</w:t>
      </w:r>
      <w:r>
        <w:rPr>
          <w:rFonts w:ascii="Arial" w:hAnsi="Arial" w:cs="Arial"/>
          <w:sz w:val="24"/>
          <w:szCs w:val="24"/>
        </w:rPr>
        <w:t xml:space="preserve"> da Constituição Federal de 1988 e ao disposto no § 4º, do artigo 9º, da Resolução de nº 01/2023 dessa Câmara Municipal.</w:t>
      </w:r>
    </w:p>
    <w:p w14:paraId="5A4C085B"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Com a extinção do cargo de Assessor Jurídico, nos termos do Anexo III, da Resolução de nº 01/2023 e a criação do cargo de Procurador Jurídico , nos termos do Anexo I, da referida Resolução, as atribuições jurídicas dessa Câmara Municipal, constam do artigo 7º, da Resolução de nº 02/2023 e devem ser exercidas pela Procuradoria Jurídica. E, assim, a alteração da nomenclatura o cargo sob análise, também vai ao encontro das disposições do citado artigo.</w:t>
      </w:r>
    </w:p>
    <w:p w14:paraId="31E97D40" w14:textId="77777777" w:rsidR="00547308" w:rsidRDefault="00547308" w:rsidP="00547308">
      <w:pPr>
        <w:spacing w:line="360" w:lineRule="auto"/>
        <w:jc w:val="both"/>
        <w:rPr>
          <w:rFonts w:ascii="Arial" w:hAnsi="Arial" w:cs="Arial"/>
          <w:b/>
          <w:bCs/>
          <w:sz w:val="24"/>
          <w:szCs w:val="24"/>
        </w:rPr>
      </w:pPr>
      <w:r>
        <w:rPr>
          <w:rFonts w:ascii="Arial" w:hAnsi="Arial" w:cs="Arial"/>
          <w:sz w:val="24"/>
          <w:szCs w:val="24"/>
        </w:rPr>
        <w:tab/>
        <w:t xml:space="preserve">Quanto à alteração das atribuições do cargo, na forma constante do Anexo VI, do presente Projeto de Resolução, no objetivo de atender às disposições do artigo 37, Inciso V, da Constituição Federal de 1988, ao disposto no § 4º,  do artigo 9º, da Resolução de nº 01/2023 dessa Câmara Municipal, bem como, considerando-se as atribuições da Diretoria Legislativo e Administrativo, constante do Anexo VI, da Resolução de nº 01/2023 dessa Câmara Municipal </w:t>
      </w:r>
      <w:r w:rsidRPr="00B2614D">
        <w:rPr>
          <w:rFonts w:ascii="Arial" w:hAnsi="Arial" w:cs="Arial"/>
          <w:b/>
          <w:bCs/>
          <w:sz w:val="24"/>
          <w:szCs w:val="24"/>
        </w:rPr>
        <w:t xml:space="preserve"> </w:t>
      </w:r>
      <w:r>
        <w:rPr>
          <w:rFonts w:ascii="Arial" w:hAnsi="Arial" w:cs="Arial"/>
          <w:b/>
          <w:bCs/>
          <w:sz w:val="24"/>
          <w:szCs w:val="24"/>
        </w:rPr>
        <w:t>sugere</w:t>
      </w:r>
      <w:r w:rsidRPr="00B2614D">
        <w:rPr>
          <w:rFonts w:ascii="Arial" w:hAnsi="Arial" w:cs="Arial"/>
          <w:b/>
          <w:bCs/>
          <w:sz w:val="24"/>
          <w:szCs w:val="24"/>
        </w:rPr>
        <w:t>-se excluir</w:t>
      </w:r>
      <w:r>
        <w:rPr>
          <w:rFonts w:ascii="Arial" w:hAnsi="Arial" w:cs="Arial"/>
          <w:b/>
          <w:bCs/>
          <w:sz w:val="24"/>
          <w:szCs w:val="24"/>
        </w:rPr>
        <w:t xml:space="preserve"> do presente Projeto de Resolução:</w:t>
      </w:r>
    </w:p>
    <w:p w14:paraId="6576D332" w14:textId="77777777" w:rsidR="00547308" w:rsidRDefault="00547308" w:rsidP="00547308">
      <w:pPr>
        <w:spacing w:line="360" w:lineRule="auto"/>
        <w:jc w:val="both"/>
        <w:rPr>
          <w:rFonts w:ascii="Arial" w:hAnsi="Arial" w:cs="Arial"/>
          <w:b/>
          <w:bCs/>
          <w:sz w:val="24"/>
          <w:szCs w:val="24"/>
        </w:rPr>
      </w:pPr>
      <w:r>
        <w:rPr>
          <w:rFonts w:ascii="Arial" w:hAnsi="Arial" w:cs="Arial"/>
          <w:b/>
          <w:bCs/>
          <w:sz w:val="24"/>
          <w:szCs w:val="24"/>
        </w:rPr>
        <w:t>a)</w:t>
      </w:r>
      <w:r w:rsidRPr="00B2614D">
        <w:rPr>
          <w:rFonts w:ascii="Arial" w:hAnsi="Arial" w:cs="Arial"/>
          <w:b/>
          <w:bCs/>
          <w:sz w:val="24"/>
          <w:szCs w:val="24"/>
        </w:rPr>
        <w:t xml:space="preserve"> o termo “administrativas” do Anexo VI</w:t>
      </w:r>
      <w:r>
        <w:rPr>
          <w:rFonts w:ascii="Arial" w:hAnsi="Arial" w:cs="Arial"/>
          <w:b/>
          <w:bCs/>
          <w:sz w:val="24"/>
          <w:szCs w:val="24"/>
        </w:rPr>
        <w:t>.</w:t>
      </w:r>
    </w:p>
    <w:p w14:paraId="1A9101EE" w14:textId="77777777" w:rsidR="00547308" w:rsidRDefault="00547308" w:rsidP="00547308">
      <w:pPr>
        <w:spacing w:line="360" w:lineRule="auto"/>
        <w:jc w:val="both"/>
        <w:rPr>
          <w:rFonts w:ascii="Arial" w:hAnsi="Arial" w:cs="Arial"/>
          <w:b/>
          <w:bCs/>
          <w:sz w:val="24"/>
          <w:szCs w:val="24"/>
        </w:rPr>
      </w:pPr>
      <w:r>
        <w:rPr>
          <w:rFonts w:ascii="Arial" w:hAnsi="Arial" w:cs="Arial"/>
          <w:b/>
          <w:bCs/>
          <w:sz w:val="24"/>
          <w:szCs w:val="24"/>
        </w:rPr>
        <w:t xml:space="preserve">b) o </w:t>
      </w:r>
      <w:proofErr w:type="gramStart"/>
      <w:r>
        <w:rPr>
          <w:rFonts w:ascii="Arial" w:hAnsi="Arial" w:cs="Arial"/>
          <w:b/>
          <w:bCs/>
          <w:sz w:val="24"/>
          <w:szCs w:val="24"/>
        </w:rPr>
        <w:t>termo  “</w:t>
      </w:r>
      <w:proofErr w:type="gramEnd"/>
      <w:r>
        <w:rPr>
          <w:rFonts w:ascii="Arial" w:hAnsi="Arial" w:cs="Arial"/>
          <w:b/>
          <w:bCs/>
          <w:sz w:val="24"/>
          <w:szCs w:val="24"/>
        </w:rPr>
        <w:t xml:space="preserve"> que em caráter reservado e” do Anexo VI.</w:t>
      </w:r>
    </w:p>
    <w:p w14:paraId="4803B5FE" w14:textId="77777777" w:rsidR="00547308" w:rsidRDefault="00547308" w:rsidP="00547308">
      <w:pPr>
        <w:spacing w:line="360" w:lineRule="auto"/>
        <w:jc w:val="both"/>
        <w:rPr>
          <w:rFonts w:ascii="Arial" w:hAnsi="Arial" w:cs="Arial"/>
          <w:sz w:val="24"/>
          <w:szCs w:val="24"/>
        </w:rPr>
      </w:pPr>
      <w:r>
        <w:rPr>
          <w:rFonts w:ascii="Arial" w:hAnsi="Arial" w:cs="Arial"/>
          <w:b/>
          <w:bCs/>
          <w:sz w:val="24"/>
          <w:szCs w:val="24"/>
        </w:rPr>
        <w:t>c) as seguintes atribuições constantes do final do Anexo VI: “...</w:t>
      </w:r>
      <w:r w:rsidRPr="00C722EB">
        <w:rPr>
          <w:rFonts w:ascii="Times New Roman" w:hAnsi="Times New Roman" w:cs="Times New Roman"/>
          <w:sz w:val="24"/>
          <w:szCs w:val="24"/>
        </w:rPr>
        <w:t xml:space="preserve"> </w:t>
      </w:r>
      <w:r w:rsidRPr="00C722EB">
        <w:rPr>
          <w:rFonts w:ascii="Arial" w:hAnsi="Arial" w:cs="Arial"/>
          <w:sz w:val="24"/>
          <w:szCs w:val="24"/>
        </w:rPr>
        <w:t xml:space="preserve">Acompanhar e fiscalizar o cumprimento de todos prazos </w:t>
      </w:r>
      <w:proofErr w:type="gramStart"/>
      <w:r w:rsidRPr="00C722EB">
        <w:rPr>
          <w:rFonts w:ascii="Arial" w:hAnsi="Arial" w:cs="Arial"/>
          <w:sz w:val="24"/>
          <w:szCs w:val="24"/>
        </w:rPr>
        <w:t>Regimentais  de</w:t>
      </w:r>
      <w:proofErr w:type="gramEnd"/>
      <w:r w:rsidRPr="00C722EB">
        <w:rPr>
          <w:rFonts w:ascii="Arial" w:hAnsi="Arial" w:cs="Arial"/>
          <w:sz w:val="24"/>
          <w:szCs w:val="24"/>
        </w:rPr>
        <w:t xml:space="preserve"> todos os processos legislativos que estejam tramitando na Casa; Ter conhecimento dos trabalhos do TCESP no controle interno do Legislativo</w:t>
      </w:r>
      <w:r>
        <w:rPr>
          <w:rFonts w:ascii="Arial" w:hAnsi="Arial" w:cs="Arial"/>
          <w:sz w:val="24"/>
          <w:szCs w:val="24"/>
        </w:rPr>
        <w:t>”.</w:t>
      </w:r>
    </w:p>
    <w:p w14:paraId="5169A365"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r>
      <w:r>
        <w:rPr>
          <w:rFonts w:ascii="Arial" w:hAnsi="Arial" w:cs="Arial"/>
          <w:color w:val="000000"/>
          <w:sz w:val="24"/>
          <w:szCs w:val="24"/>
        </w:rPr>
        <w:t xml:space="preserve">Ressalta-se que, </w:t>
      </w:r>
      <w:r w:rsidRPr="00B173E1">
        <w:rPr>
          <w:rFonts w:ascii="Arial" w:hAnsi="Arial" w:cs="Arial"/>
          <w:sz w:val="24"/>
          <w:szCs w:val="24"/>
        </w:rPr>
        <w:t xml:space="preserve">o Poder Legislativo Municipal tem legitimidade para elaboração de reestruturação administrativa, no entanto, deve ser observada dotação orçamentária suficiente, além dos padrões e limites impostos à gestão </w:t>
      </w:r>
      <w:r w:rsidRPr="00B173E1">
        <w:rPr>
          <w:rFonts w:ascii="Arial" w:hAnsi="Arial" w:cs="Arial"/>
          <w:sz w:val="24"/>
          <w:szCs w:val="24"/>
        </w:rPr>
        <w:lastRenderedPageBreak/>
        <w:t>pública</w:t>
      </w:r>
      <w:r>
        <w:rPr>
          <w:rFonts w:ascii="Arial" w:hAnsi="Arial" w:cs="Arial"/>
          <w:sz w:val="24"/>
          <w:szCs w:val="24"/>
        </w:rPr>
        <w:t xml:space="preserve">, sobretudo, pela </w:t>
      </w:r>
      <w:r w:rsidRPr="00B173E1">
        <w:rPr>
          <w:rFonts w:ascii="Arial" w:hAnsi="Arial" w:cs="Arial"/>
          <w:sz w:val="24"/>
          <w:szCs w:val="24"/>
        </w:rPr>
        <w:t xml:space="preserve">Lei </w:t>
      </w:r>
      <w:r>
        <w:rPr>
          <w:rFonts w:ascii="Arial" w:hAnsi="Arial" w:cs="Arial"/>
          <w:sz w:val="24"/>
          <w:szCs w:val="24"/>
        </w:rPr>
        <w:t xml:space="preserve"> de Responsabilidade Fiscal ( Lei </w:t>
      </w:r>
      <w:r w:rsidRPr="00B173E1">
        <w:rPr>
          <w:rFonts w:ascii="Arial" w:hAnsi="Arial" w:cs="Arial"/>
          <w:sz w:val="24"/>
          <w:szCs w:val="24"/>
        </w:rPr>
        <w:t xml:space="preserve">Complementar </w:t>
      </w:r>
      <w:r>
        <w:rPr>
          <w:rFonts w:ascii="Arial" w:hAnsi="Arial" w:cs="Arial"/>
          <w:sz w:val="24"/>
          <w:szCs w:val="24"/>
        </w:rPr>
        <w:t xml:space="preserve"> de nº </w:t>
      </w:r>
      <w:r w:rsidRPr="00B173E1">
        <w:rPr>
          <w:rFonts w:ascii="Arial" w:hAnsi="Arial" w:cs="Arial"/>
          <w:sz w:val="24"/>
          <w:szCs w:val="24"/>
        </w:rPr>
        <w:t>101/2000</w:t>
      </w:r>
      <w:r>
        <w:rPr>
          <w:rFonts w:ascii="Arial" w:hAnsi="Arial" w:cs="Arial"/>
          <w:sz w:val="24"/>
          <w:szCs w:val="24"/>
        </w:rPr>
        <w:t xml:space="preserve">) que traz </w:t>
      </w:r>
      <w:r w:rsidRPr="00B173E1">
        <w:rPr>
          <w:rFonts w:ascii="Arial" w:hAnsi="Arial" w:cs="Arial"/>
          <w:sz w:val="24"/>
          <w:szCs w:val="24"/>
        </w:rPr>
        <w:t>critérios de observância obrigatória na gestão das contas públicas, vinculando os administradores nas esferas federal, estadual e municipal, o que deve ser rigorosamente observad</w:t>
      </w:r>
      <w:r>
        <w:rPr>
          <w:rFonts w:ascii="Arial" w:hAnsi="Arial" w:cs="Arial"/>
          <w:sz w:val="24"/>
          <w:szCs w:val="24"/>
        </w:rPr>
        <w:t>o</w:t>
      </w:r>
      <w:r w:rsidRPr="00B173E1">
        <w:rPr>
          <w:rFonts w:ascii="Arial" w:hAnsi="Arial" w:cs="Arial"/>
          <w:sz w:val="24"/>
          <w:szCs w:val="24"/>
        </w:rPr>
        <w:t>.</w:t>
      </w:r>
    </w:p>
    <w:p w14:paraId="5CAE3687"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Conforme citado, </w:t>
      </w:r>
      <w:r w:rsidRPr="00AC4C33">
        <w:rPr>
          <w:rFonts w:ascii="Arial" w:hAnsi="Arial" w:cs="Arial"/>
          <w:sz w:val="24"/>
          <w:szCs w:val="24"/>
        </w:rPr>
        <w:t>a Lei Complementar de nº 172/2023 tratou sobre os salários, vencimentos, adicionais e retribuições pecuniárias do Quadro Permanente de Pessoal da Câmara do Município de Pedra Bela - SP, e dá outras providências".</w:t>
      </w:r>
    </w:p>
    <w:p w14:paraId="226EB4E8" w14:textId="77777777" w:rsidR="00547308" w:rsidRDefault="00547308" w:rsidP="00547308">
      <w:pPr>
        <w:spacing w:line="360" w:lineRule="auto"/>
        <w:jc w:val="both"/>
        <w:rPr>
          <w:rFonts w:ascii="Arial" w:hAnsi="Arial" w:cs="Arial"/>
          <w:sz w:val="24"/>
          <w:szCs w:val="24"/>
        </w:rPr>
      </w:pPr>
      <w:r>
        <w:rPr>
          <w:rFonts w:ascii="Arial" w:hAnsi="Arial" w:cs="Arial"/>
          <w:sz w:val="24"/>
          <w:szCs w:val="24"/>
        </w:rPr>
        <w:tab/>
        <w:t xml:space="preserve">Observa-se que, na tramitação do </w:t>
      </w:r>
      <w:r w:rsidRPr="00B173E1">
        <w:rPr>
          <w:rFonts w:ascii="Arial" w:hAnsi="Arial" w:cs="Arial"/>
          <w:sz w:val="24"/>
          <w:szCs w:val="24"/>
        </w:rPr>
        <w:t xml:space="preserve">Projeto de </w:t>
      </w:r>
      <w:r>
        <w:rPr>
          <w:rFonts w:ascii="Arial" w:hAnsi="Arial" w:cs="Arial"/>
          <w:sz w:val="24"/>
          <w:szCs w:val="24"/>
        </w:rPr>
        <w:t>R</w:t>
      </w:r>
      <w:r w:rsidRPr="00B173E1">
        <w:rPr>
          <w:rFonts w:ascii="Arial" w:hAnsi="Arial" w:cs="Arial"/>
          <w:sz w:val="24"/>
          <w:szCs w:val="24"/>
        </w:rPr>
        <w:t xml:space="preserve">esolução </w:t>
      </w:r>
      <w:r>
        <w:rPr>
          <w:rFonts w:ascii="Arial" w:hAnsi="Arial" w:cs="Arial"/>
          <w:sz w:val="24"/>
          <w:szCs w:val="24"/>
        </w:rPr>
        <w:t xml:space="preserve">de nº </w:t>
      </w:r>
      <w:r w:rsidRPr="00B173E1">
        <w:rPr>
          <w:rFonts w:ascii="Arial" w:hAnsi="Arial" w:cs="Arial"/>
          <w:sz w:val="24"/>
          <w:szCs w:val="24"/>
        </w:rPr>
        <w:t xml:space="preserve">01/2023 </w:t>
      </w:r>
      <w:r>
        <w:rPr>
          <w:rFonts w:ascii="Arial" w:hAnsi="Arial" w:cs="Arial"/>
          <w:sz w:val="24"/>
          <w:szCs w:val="24"/>
        </w:rPr>
        <w:t xml:space="preserve">ocorreu a análise </w:t>
      </w:r>
      <w:r w:rsidRPr="00B173E1">
        <w:rPr>
          <w:rFonts w:ascii="Arial" w:hAnsi="Arial" w:cs="Arial"/>
          <w:sz w:val="24"/>
          <w:szCs w:val="24"/>
        </w:rPr>
        <w:t>pela assessoria contábil d</w:t>
      </w:r>
      <w:r>
        <w:rPr>
          <w:rFonts w:ascii="Arial" w:hAnsi="Arial" w:cs="Arial"/>
          <w:sz w:val="24"/>
          <w:szCs w:val="24"/>
        </w:rPr>
        <w:t xml:space="preserve">essa Câmara Municipal com a emissão do parecer contábil, quando da criação dos cargos e assim, requer a juntada do mesmo aos autos. </w:t>
      </w:r>
    </w:p>
    <w:p w14:paraId="0C1EF649" w14:textId="77777777" w:rsidR="00547308" w:rsidRDefault="00547308" w:rsidP="00547308">
      <w:pPr>
        <w:spacing w:line="360" w:lineRule="auto"/>
        <w:jc w:val="both"/>
        <w:rPr>
          <w:rFonts w:ascii="Arial" w:hAnsi="Arial" w:cs="Arial"/>
          <w:color w:val="000000"/>
          <w:sz w:val="24"/>
          <w:szCs w:val="24"/>
        </w:rPr>
      </w:pPr>
      <w:r>
        <w:rPr>
          <w:rFonts w:ascii="Arial" w:hAnsi="Arial" w:cs="Arial"/>
          <w:sz w:val="24"/>
          <w:szCs w:val="24"/>
        </w:rPr>
        <w:tab/>
        <w:t xml:space="preserve">Dessa forma, </w:t>
      </w:r>
      <w:r w:rsidRPr="00B173E1">
        <w:rPr>
          <w:rFonts w:ascii="Arial" w:hAnsi="Arial" w:cs="Arial"/>
          <w:color w:val="000000"/>
          <w:sz w:val="24"/>
          <w:szCs w:val="24"/>
        </w:rPr>
        <w:t xml:space="preserve">a votação da matéria, poderá ser deliberada nos termos do art. 58, parágrafo único, da Lei Orgânica do Município, por maioria simples de seus membros, através de votação nominal, </w:t>
      </w:r>
      <w:r>
        <w:rPr>
          <w:rFonts w:ascii="Arial" w:hAnsi="Arial" w:cs="Arial"/>
          <w:color w:val="000000"/>
          <w:sz w:val="24"/>
          <w:szCs w:val="24"/>
        </w:rPr>
        <w:t xml:space="preserve">eis que se </w:t>
      </w:r>
      <w:r w:rsidRPr="00B173E1">
        <w:rPr>
          <w:rFonts w:ascii="Arial" w:hAnsi="Arial" w:cs="Arial"/>
          <w:color w:val="000000"/>
          <w:sz w:val="24"/>
          <w:szCs w:val="24"/>
        </w:rPr>
        <w:t>trata de matéria de efeito interno.</w:t>
      </w:r>
    </w:p>
    <w:p w14:paraId="1ADB055F" w14:textId="77777777" w:rsidR="00547308" w:rsidRPr="00B173E1" w:rsidRDefault="00547308" w:rsidP="00547308">
      <w:pPr>
        <w:spacing w:line="360" w:lineRule="auto"/>
        <w:jc w:val="both"/>
        <w:rPr>
          <w:rFonts w:ascii="Arial" w:hAnsi="Arial" w:cs="Arial"/>
          <w:sz w:val="24"/>
          <w:szCs w:val="24"/>
        </w:rPr>
      </w:pPr>
      <w:r>
        <w:rPr>
          <w:rFonts w:ascii="Arial" w:hAnsi="Arial" w:cs="Arial"/>
          <w:color w:val="000000"/>
          <w:sz w:val="24"/>
          <w:szCs w:val="24"/>
        </w:rPr>
        <w:tab/>
      </w:r>
      <w:r w:rsidRPr="00B173E1">
        <w:rPr>
          <w:rFonts w:ascii="Arial" w:hAnsi="Arial" w:cs="Arial"/>
          <w:sz w:val="24"/>
          <w:szCs w:val="24"/>
        </w:rPr>
        <w:t xml:space="preserve">Diante o exposto, </w:t>
      </w:r>
      <w:r>
        <w:rPr>
          <w:rFonts w:ascii="Arial" w:hAnsi="Arial" w:cs="Arial"/>
          <w:sz w:val="24"/>
          <w:szCs w:val="24"/>
        </w:rPr>
        <w:t xml:space="preserve">observadas as alterações sugeridas, </w:t>
      </w:r>
      <w:r w:rsidRPr="00B173E1">
        <w:rPr>
          <w:rFonts w:ascii="Arial" w:hAnsi="Arial" w:cs="Arial"/>
          <w:sz w:val="24"/>
          <w:szCs w:val="24"/>
        </w:rPr>
        <w:t xml:space="preserve">em obediência às normas </w:t>
      </w:r>
      <w:r>
        <w:rPr>
          <w:rFonts w:ascii="Arial" w:hAnsi="Arial" w:cs="Arial"/>
          <w:sz w:val="24"/>
          <w:szCs w:val="24"/>
        </w:rPr>
        <w:t xml:space="preserve">constitucionais e </w:t>
      </w:r>
      <w:r w:rsidRPr="00B173E1">
        <w:rPr>
          <w:rFonts w:ascii="Arial" w:hAnsi="Arial" w:cs="Arial"/>
          <w:sz w:val="24"/>
          <w:szCs w:val="24"/>
        </w:rPr>
        <w:t>legais</w:t>
      </w:r>
      <w:r>
        <w:rPr>
          <w:rFonts w:ascii="Arial" w:hAnsi="Arial" w:cs="Arial"/>
          <w:sz w:val="24"/>
          <w:szCs w:val="24"/>
        </w:rPr>
        <w:t xml:space="preserve"> </w:t>
      </w:r>
      <w:r w:rsidRPr="00B173E1">
        <w:rPr>
          <w:rFonts w:ascii="Arial" w:hAnsi="Arial" w:cs="Arial"/>
          <w:sz w:val="24"/>
          <w:szCs w:val="24"/>
        </w:rPr>
        <w:t>e</w:t>
      </w:r>
      <w:r>
        <w:rPr>
          <w:rFonts w:ascii="Arial" w:hAnsi="Arial" w:cs="Arial"/>
          <w:sz w:val="24"/>
          <w:szCs w:val="24"/>
        </w:rPr>
        <w:t xml:space="preserve">ssa Procuradoria Jurídica </w:t>
      </w:r>
      <w:r w:rsidRPr="00B173E1">
        <w:rPr>
          <w:rFonts w:ascii="Arial" w:hAnsi="Arial" w:cs="Arial"/>
          <w:b/>
          <w:sz w:val="24"/>
          <w:szCs w:val="24"/>
        </w:rPr>
        <w:t xml:space="preserve">OPINA </w:t>
      </w:r>
      <w:r w:rsidRPr="00B173E1">
        <w:rPr>
          <w:rFonts w:ascii="Arial" w:hAnsi="Arial" w:cs="Arial"/>
          <w:sz w:val="24"/>
          <w:szCs w:val="24"/>
        </w:rPr>
        <w:t>pela legalidade e constitucionalidade do presente Projeto de Resolução 01/202</w:t>
      </w:r>
      <w:r>
        <w:rPr>
          <w:rFonts w:ascii="Arial" w:hAnsi="Arial" w:cs="Arial"/>
          <w:sz w:val="24"/>
          <w:szCs w:val="24"/>
        </w:rPr>
        <w:t>4.</w:t>
      </w:r>
    </w:p>
    <w:p w14:paraId="5F69BF7D" w14:textId="77777777" w:rsidR="00547308" w:rsidRDefault="00547308" w:rsidP="00547308">
      <w:pPr>
        <w:tabs>
          <w:tab w:val="left" w:pos="2850"/>
        </w:tabs>
        <w:spacing w:line="360" w:lineRule="auto"/>
        <w:ind w:firstLine="2835"/>
        <w:jc w:val="both"/>
        <w:rPr>
          <w:rFonts w:ascii="Arial" w:hAnsi="Arial" w:cs="Arial"/>
          <w:sz w:val="24"/>
          <w:szCs w:val="24"/>
        </w:rPr>
      </w:pPr>
      <w:r w:rsidRPr="00B173E1">
        <w:rPr>
          <w:rFonts w:ascii="Arial" w:hAnsi="Arial" w:cs="Arial"/>
          <w:sz w:val="24"/>
          <w:szCs w:val="24"/>
        </w:rPr>
        <w:t>E o parecer</w:t>
      </w:r>
      <w:r>
        <w:rPr>
          <w:rFonts w:ascii="Arial" w:hAnsi="Arial" w:cs="Arial"/>
          <w:sz w:val="24"/>
          <w:szCs w:val="24"/>
        </w:rPr>
        <w:t xml:space="preserve"> jurídico, à consideração superior.</w:t>
      </w:r>
    </w:p>
    <w:p w14:paraId="76E3FE2A" w14:textId="77777777" w:rsidR="00547308" w:rsidRPr="00B173E1" w:rsidRDefault="00547308" w:rsidP="00547308">
      <w:pPr>
        <w:tabs>
          <w:tab w:val="left" w:pos="2850"/>
        </w:tabs>
        <w:spacing w:line="360" w:lineRule="auto"/>
        <w:ind w:firstLine="2835"/>
        <w:jc w:val="both"/>
        <w:rPr>
          <w:rFonts w:ascii="Arial" w:hAnsi="Arial" w:cs="Arial"/>
          <w:sz w:val="24"/>
          <w:szCs w:val="24"/>
        </w:rPr>
      </w:pPr>
      <w:r w:rsidRPr="00B173E1">
        <w:rPr>
          <w:rFonts w:ascii="Arial" w:hAnsi="Arial" w:cs="Arial"/>
          <w:sz w:val="24"/>
          <w:szCs w:val="24"/>
        </w:rPr>
        <w:t xml:space="preserve"> </w:t>
      </w:r>
    </w:p>
    <w:p w14:paraId="239A96B5" w14:textId="77777777" w:rsidR="00547308" w:rsidRPr="00B173E1" w:rsidRDefault="00547308" w:rsidP="00547308">
      <w:pPr>
        <w:spacing w:line="360" w:lineRule="auto"/>
        <w:jc w:val="center"/>
        <w:rPr>
          <w:rFonts w:ascii="Arial" w:hAnsi="Arial" w:cs="Arial"/>
          <w:sz w:val="24"/>
          <w:szCs w:val="24"/>
        </w:rPr>
      </w:pPr>
      <w:r w:rsidRPr="00B173E1">
        <w:rPr>
          <w:rFonts w:ascii="Arial" w:hAnsi="Arial" w:cs="Arial"/>
          <w:sz w:val="24"/>
          <w:szCs w:val="24"/>
        </w:rPr>
        <w:t>Pedra Bela</w:t>
      </w:r>
      <w:r>
        <w:rPr>
          <w:rFonts w:ascii="Arial" w:hAnsi="Arial" w:cs="Arial"/>
          <w:sz w:val="24"/>
          <w:szCs w:val="24"/>
        </w:rPr>
        <w:t xml:space="preserve">- </w:t>
      </w:r>
      <w:r w:rsidRPr="00B173E1">
        <w:rPr>
          <w:rFonts w:ascii="Arial" w:hAnsi="Arial" w:cs="Arial"/>
          <w:sz w:val="24"/>
          <w:szCs w:val="24"/>
        </w:rPr>
        <w:t xml:space="preserve">SP, 12 de </w:t>
      </w:r>
      <w:r>
        <w:rPr>
          <w:rFonts w:ascii="Arial" w:hAnsi="Arial" w:cs="Arial"/>
          <w:sz w:val="24"/>
          <w:szCs w:val="24"/>
        </w:rPr>
        <w:t>março</w:t>
      </w:r>
      <w:r w:rsidRPr="00B173E1">
        <w:rPr>
          <w:rFonts w:ascii="Arial" w:hAnsi="Arial" w:cs="Arial"/>
          <w:sz w:val="24"/>
          <w:szCs w:val="24"/>
        </w:rPr>
        <w:t xml:space="preserve"> de 202</w:t>
      </w:r>
      <w:r>
        <w:rPr>
          <w:rFonts w:ascii="Arial" w:hAnsi="Arial" w:cs="Arial"/>
          <w:sz w:val="24"/>
          <w:szCs w:val="24"/>
        </w:rPr>
        <w:t>4</w:t>
      </w:r>
      <w:r w:rsidRPr="00B173E1">
        <w:rPr>
          <w:rFonts w:ascii="Arial" w:hAnsi="Arial" w:cs="Arial"/>
          <w:sz w:val="24"/>
          <w:szCs w:val="24"/>
        </w:rPr>
        <w:t>.</w:t>
      </w:r>
    </w:p>
    <w:p w14:paraId="7C94648F" w14:textId="77777777" w:rsidR="00547308" w:rsidRPr="00B173E1" w:rsidRDefault="00547308" w:rsidP="00547308">
      <w:pPr>
        <w:spacing w:after="0" w:line="360" w:lineRule="auto"/>
        <w:jc w:val="center"/>
        <w:rPr>
          <w:rFonts w:ascii="Arial" w:hAnsi="Arial" w:cs="Arial"/>
          <w:sz w:val="24"/>
          <w:szCs w:val="24"/>
        </w:rPr>
      </w:pPr>
    </w:p>
    <w:p w14:paraId="63E2B4BD" w14:textId="77777777" w:rsidR="00547308" w:rsidRPr="00B173E1" w:rsidRDefault="00547308" w:rsidP="00547308">
      <w:pPr>
        <w:tabs>
          <w:tab w:val="left" w:pos="3660"/>
        </w:tabs>
        <w:spacing w:after="0" w:line="360" w:lineRule="auto"/>
        <w:jc w:val="center"/>
        <w:rPr>
          <w:rFonts w:ascii="Arial" w:hAnsi="Arial" w:cs="Arial"/>
          <w:b/>
          <w:bCs/>
          <w:sz w:val="24"/>
          <w:szCs w:val="24"/>
        </w:rPr>
      </w:pPr>
      <w:r>
        <w:rPr>
          <w:rFonts w:ascii="Arial" w:hAnsi="Arial" w:cs="Arial"/>
          <w:b/>
          <w:bCs/>
          <w:sz w:val="24"/>
          <w:szCs w:val="24"/>
        </w:rPr>
        <w:t xml:space="preserve">Lucinéia Aparecida Vieira </w:t>
      </w:r>
      <w:proofErr w:type="gramStart"/>
      <w:r>
        <w:rPr>
          <w:rFonts w:ascii="Arial" w:hAnsi="Arial" w:cs="Arial"/>
          <w:b/>
          <w:bCs/>
          <w:sz w:val="24"/>
          <w:szCs w:val="24"/>
        </w:rPr>
        <w:t>de  Andrade</w:t>
      </w:r>
      <w:proofErr w:type="gramEnd"/>
    </w:p>
    <w:p w14:paraId="2F12BE11" w14:textId="1ADF8EDC" w:rsidR="00547308" w:rsidRPr="00236B06" w:rsidRDefault="00547308" w:rsidP="00547308">
      <w:pPr>
        <w:tabs>
          <w:tab w:val="left" w:pos="3660"/>
        </w:tabs>
        <w:spacing w:after="0" w:line="360" w:lineRule="auto"/>
        <w:jc w:val="center"/>
        <w:rPr>
          <w:rFonts w:ascii="Arial" w:hAnsi="Arial" w:cs="Arial"/>
          <w:sz w:val="24"/>
          <w:szCs w:val="24"/>
        </w:rPr>
      </w:pPr>
      <w:r w:rsidRPr="00EF5F57">
        <w:rPr>
          <w:rFonts w:ascii="Arial" w:hAnsi="Arial" w:cs="Arial"/>
          <w:sz w:val="24"/>
          <w:szCs w:val="24"/>
        </w:rPr>
        <w:t>Procuradora Jurídica.</w:t>
      </w:r>
      <w:r w:rsidRPr="00802342">
        <w:rPr>
          <w:rFonts w:ascii="Times New Roman" w:hAnsi="Times New Roman"/>
          <w:sz w:val="24"/>
          <w:szCs w:val="24"/>
        </w:rPr>
        <w:t xml:space="preserve"> </w:t>
      </w:r>
    </w:p>
    <w:p w14:paraId="52BB1D4B" w14:textId="77777777" w:rsidR="00F30739" w:rsidRDefault="00F30739" w:rsidP="00F30739">
      <w:pPr>
        <w:spacing w:after="0" w:line="240" w:lineRule="auto"/>
        <w:rPr>
          <w:b/>
          <w:sz w:val="32"/>
          <w:szCs w:val="32"/>
        </w:rPr>
      </w:pPr>
    </w:p>
    <w:sectPr w:rsidR="00F30739" w:rsidSect="00983BB2">
      <w:headerReference w:type="default" r:id="rId6"/>
      <w:pgSz w:w="11906" w:h="16838"/>
      <w:pgMar w:top="2694"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1DC12" w14:textId="77777777" w:rsidR="003031B8" w:rsidRDefault="003031B8" w:rsidP="008301AE">
      <w:pPr>
        <w:spacing w:after="0" w:line="240" w:lineRule="auto"/>
      </w:pPr>
      <w:r>
        <w:separator/>
      </w:r>
    </w:p>
  </w:endnote>
  <w:endnote w:type="continuationSeparator" w:id="0">
    <w:p w14:paraId="511BB181" w14:textId="77777777" w:rsidR="003031B8" w:rsidRDefault="003031B8" w:rsidP="00830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8AE45" w14:textId="77777777" w:rsidR="003031B8" w:rsidRDefault="003031B8" w:rsidP="008301AE">
      <w:pPr>
        <w:spacing w:after="0" w:line="240" w:lineRule="auto"/>
      </w:pPr>
      <w:r>
        <w:separator/>
      </w:r>
    </w:p>
  </w:footnote>
  <w:footnote w:type="continuationSeparator" w:id="0">
    <w:p w14:paraId="0EAFB9AF" w14:textId="77777777" w:rsidR="003031B8" w:rsidRDefault="003031B8" w:rsidP="00830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8B618" w14:textId="77777777" w:rsidR="008301AE" w:rsidRDefault="008301AE">
    <w:pPr>
      <w:pStyle w:val="Cabealho"/>
    </w:pPr>
    <w:r>
      <w:rPr>
        <w:noProof/>
        <w:lang w:eastAsia="pt-BR"/>
      </w:rPr>
      <w:drawing>
        <wp:inline distT="0" distB="0" distL="0" distR="0" wp14:anchorId="40CFE397" wp14:editId="025B0195">
          <wp:extent cx="5400040" cy="809625"/>
          <wp:effectExtent l="0" t="0" r="0" b="9525"/>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400040" cy="809625"/>
                  </a:xfrm>
                  <a:prstGeom prst="rect">
                    <a:avLst/>
                  </a:prstGeom>
                </pic:spPr>
              </pic:pic>
            </a:graphicData>
          </a:graphic>
        </wp:inline>
      </w:drawing>
    </w:r>
  </w:p>
  <w:p w14:paraId="442E9B59" w14:textId="77777777" w:rsidR="008301AE" w:rsidRDefault="008301A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4C4"/>
    <w:rsid w:val="00023A68"/>
    <w:rsid w:val="000C798C"/>
    <w:rsid w:val="000F2682"/>
    <w:rsid w:val="00103FF3"/>
    <w:rsid w:val="0014269D"/>
    <w:rsid w:val="0026202F"/>
    <w:rsid w:val="0027645A"/>
    <w:rsid w:val="003031B8"/>
    <w:rsid w:val="0033387F"/>
    <w:rsid w:val="003570C3"/>
    <w:rsid w:val="004A1E2F"/>
    <w:rsid w:val="004C31C4"/>
    <w:rsid w:val="00547308"/>
    <w:rsid w:val="00553ABD"/>
    <w:rsid w:val="005627FD"/>
    <w:rsid w:val="005F3B49"/>
    <w:rsid w:val="00691C6D"/>
    <w:rsid w:val="006C3ABA"/>
    <w:rsid w:val="006D4A4C"/>
    <w:rsid w:val="007A7303"/>
    <w:rsid w:val="008301AE"/>
    <w:rsid w:val="00853066"/>
    <w:rsid w:val="00943931"/>
    <w:rsid w:val="00983BB2"/>
    <w:rsid w:val="00A05A00"/>
    <w:rsid w:val="00A90222"/>
    <w:rsid w:val="00AA4DBA"/>
    <w:rsid w:val="00AE1928"/>
    <w:rsid w:val="00B347B4"/>
    <w:rsid w:val="00B44FCD"/>
    <w:rsid w:val="00BE3890"/>
    <w:rsid w:val="00C6314D"/>
    <w:rsid w:val="00CB71CB"/>
    <w:rsid w:val="00CE047D"/>
    <w:rsid w:val="00D00A19"/>
    <w:rsid w:val="00D83152"/>
    <w:rsid w:val="00E17380"/>
    <w:rsid w:val="00E33ADF"/>
    <w:rsid w:val="00F15BE8"/>
    <w:rsid w:val="00F30739"/>
    <w:rsid w:val="00F93D19"/>
    <w:rsid w:val="00FE24C4"/>
    <w:rsid w:val="00FE3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676A6"/>
  <w15:chartTrackingRefBased/>
  <w15:docId w15:val="{4309355B-B4F4-4FD5-8050-6E8DF35F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3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01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01AE"/>
  </w:style>
  <w:style w:type="paragraph" w:styleId="Rodap">
    <w:name w:val="footer"/>
    <w:basedOn w:val="Normal"/>
    <w:link w:val="RodapChar"/>
    <w:uiPriority w:val="99"/>
    <w:unhideWhenUsed/>
    <w:rsid w:val="008301AE"/>
    <w:pPr>
      <w:tabs>
        <w:tab w:val="center" w:pos="4252"/>
        <w:tab w:val="right" w:pos="8504"/>
      </w:tabs>
      <w:spacing w:after="0" w:line="240" w:lineRule="auto"/>
    </w:pPr>
  </w:style>
  <w:style w:type="character" w:customStyle="1" w:styleId="RodapChar">
    <w:name w:val="Rodapé Char"/>
    <w:basedOn w:val="Fontepargpadro"/>
    <w:link w:val="Rodap"/>
    <w:uiPriority w:val="99"/>
    <w:rsid w:val="008301AE"/>
  </w:style>
  <w:style w:type="paragraph" w:styleId="Textodebalo">
    <w:name w:val="Balloon Text"/>
    <w:basedOn w:val="Normal"/>
    <w:link w:val="TextodebaloChar"/>
    <w:uiPriority w:val="99"/>
    <w:semiHidden/>
    <w:unhideWhenUsed/>
    <w:rsid w:val="008301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301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411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1304</Words>
  <Characters>7045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Jonatan Leme</dc:creator>
  <cp:keywords/>
  <dc:description/>
  <cp:lastModifiedBy>Juridico</cp:lastModifiedBy>
  <cp:revision>8</cp:revision>
  <cp:lastPrinted>2024-03-04T14:33:00Z</cp:lastPrinted>
  <dcterms:created xsi:type="dcterms:W3CDTF">2024-02-07T13:10:00Z</dcterms:created>
  <dcterms:modified xsi:type="dcterms:W3CDTF">2024-03-12T20:32:00Z</dcterms:modified>
</cp:coreProperties>
</file>