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F9E9D" w14:textId="77777777" w:rsidR="00E26FE7" w:rsidRPr="00C37844" w:rsidRDefault="00E26FE7" w:rsidP="00D9208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90373B" w14:textId="77777777" w:rsidR="005F4900" w:rsidRPr="00C37844" w:rsidRDefault="005F4900" w:rsidP="00D9208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8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COMISSÃO DE ORÇAMENTO, FINANÇAS E CONTABILIDADE</w:t>
      </w:r>
    </w:p>
    <w:p w14:paraId="51A3C6F2" w14:textId="692795EB" w:rsidR="0003032A" w:rsidRPr="00C37844" w:rsidRDefault="005275E0" w:rsidP="0003032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  <w:r w:rsidRPr="00C378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ANÁLISE E JULGAMENTO DAS CONTAS DA PREFEITURA MUNICIPAL DE PEDRA BELA, EXERCÍCIO 20</w:t>
      </w:r>
      <w:r w:rsidR="00CF7F27" w:rsidRPr="00C378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B157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C378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CF7F27" w:rsidRPr="00C37844">
        <w:rPr>
          <w:rFonts w:ascii="Times New Roman" w:hAnsi="Times New Roman" w:cs="Times New Roman"/>
          <w:b/>
          <w:color w:val="000000"/>
          <w:sz w:val="24"/>
          <w:szCs w:val="24"/>
        </w:rPr>
        <w:t>TC-</w:t>
      </w:r>
      <w:r w:rsidR="00B15713">
        <w:rPr>
          <w:rFonts w:ascii="Times New Roman" w:hAnsi="Times New Roman" w:cs="Times New Roman"/>
          <w:b/>
          <w:color w:val="000000"/>
          <w:sz w:val="24"/>
          <w:szCs w:val="24"/>
        </w:rPr>
        <w:t>003966.989.22-0</w:t>
      </w:r>
      <w:r w:rsidRPr="00C378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14:paraId="13141D11" w14:textId="77777777" w:rsidR="00D8559B" w:rsidRPr="00C37844" w:rsidRDefault="00D8559B" w:rsidP="0061394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5ABBEEA" w14:textId="3B252351" w:rsidR="005275E0" w:rsidRPr="00C37844" w:rsidRDefault="005275E0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>Chega a esta Comissão de Orçamento, Finanças e Contabilidade, o parecer prévio do Tribunal de Contas e as contas da Prefeitura Municipal</w:t>
      </w:r>
      <w:r w:rsidR="00CF7F27"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Pedra Bela, exercício de 202</w:t>
      </w:r>
      <w:r w:rsidR="00B1571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F7F27" w:rsidRPr="00C37844">
        <w:rPr>
          <w:rFonts w:ascii="Times New Roman" w:hAnsi="Times New Roman" w:cs="Times New Roman"/>
          <w:color w:val="000000"/>
          <w:sz w:val="24"/>
          <w:szCs w:val="24"/>
        </w:rPr>
        <w:t>TC-</w:t>
      </w:r>
      <w:r w:rsidR="00B157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5713" w:rsidRPr="00B15713">
        <w:rPr>
          <w:rFonts w:ascii="Times New Roman" w:hAnsi="Times New Roman" w:cs="Times New Roman"/>
          <w:color w:val="000000"/>
          <w:sz w:val="24"/>
          <w:szCs w:val="24"/>
        </w:rPr>
        <w:t>003966.989.22-0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>, para análise e julgamento, para fins previstos no art. 31, § 2º, da CF, combinado com art. 150, da Constituição Estadual.</w:t>
      </w:r>
    </w:p>
    <w:p w14:paraId="28C7D127" w14:textId="77777777" w:rsidR="0078644A" w:rsidRPr="00C37844" w:rsidRDefault="0078644A" w:rsidP="00D920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>De acordo com os autos, a</w:t>
      </w:r>
      <w:r w:rsidRPr="00C37844">
        <w:rPr>
          <w:rFonts w:ascii="Times New Roman" w:hAnsi="Times New Roman" w:cs="Times New Roman"/>
          <w:sz w:val="24"/>
          <w:szCs w:val="24"/>
        </w:rPr>
        <w:t xml:space="preserve"> Unidade Regional de Campinas (UR-3), </w:t>
      </w:r>
      <w:r w:rsidR="006C2198" w:rsidRPr="00C37844">
        <w:rPr>
          <w:rFonts w:ascii="Times New Roman" w:hAnsi="Times New Roman" w:cs="Times New Roman"/>
          <w:sz w:val="24"/>
          <w:szCs w:val="24"/>
        </w:rPr>
        <w:t>por meio de seus agentes</w:t>
      </w:r>
      <w:r w:rsidRPr="00C37844">
        <w:rPr>
          <w:rFonts w:ascii="Times New Roman" w:hAnsi="Times New Roman" w:cs="Times New Roman"/>
          <w:sz w:val="24"/>
          <w:szCs w:val="24"/>
        </w:rPr>
        <w:t>, elaborou o relatório apontando</w:t>
      </w:r>
      <w:r w:rsidR="006C2198" w:rsidRPr="00C37844">
        <w:rPr>
          <w:rFonts w:ascii="Times New Roman" w:hAnsi="Times New Roman" w:cs="Times New Roman"/>
          <w:sz w:val="24"/>
          <w:szCs w:val="24"/>
        </w:rPr>
        <w:t xml:space="preserve"> com as seguintes ocorrências</w:t>
      </w:r>
      <w:r w:rsidRPr="00C3784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C22A102" w14:textId="77777777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b/>
          <w:bCs/>
          <w:sz w:val="24"/>
          <w:szCs w:val="24"/>
        </w:rPr>
        <w:t xml:space="preserve">Fiscalizações Ordenadas: </w:t>
      </w:r>
      <w:r w:rsidRPr="00B15713">
        <w:rPr>
          <w:rFonts w:ascii="Times New Roman" w:hAnsi="Times New Roman" w:cs="Times New Roman"/>
          <w:sz w:val="24"/>
          <w:szCs w:val="24"/>
        </w:rPr>
        <w:t>irregularidades remanescentes;</w:t>
      </w:r>
    </w:p>
    <w:p w14:paraId="0787B8B3" w14:textId="77777777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 xml:space="preserve">•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Fiscalização da atuação do Controle Interno:</w:t>
      </w:r>
    </w:p>
    <w:p w14:paraId="7CC55EF3" w14:textId="77777777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>Desatualização das informações no Sistema AUDESP;</w:t>
      </w:r>
    </w:p>
    <w:p w14:paraId="3AD88BC3" w14:textId="77777777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 xml:space="preserve">•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Planejamento das Políticas Públicas:</w:t>
      </w:r>
    </w:p>
    <w:p w14:paraId="36E1693B" w14:textId="403E5F13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>A Prefeitura não dispõe de estrutura voltada ao Planejamento; ausência de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acompanhamento da execução das demandas originárias de participação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popular;</w:t>
      </w:r>
    </w:p>
    <w:p w14:paraId="159EC0BF" w14:textId="77777777" w:rsidR="00B15713" w:rsidRDefault="00B15713" w:rsidP="00B15713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 xml:space="preserve">•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Execução das Políticas Públicas do Ensino:</w:t>
      </w:r>
    </w:p>
    <w:p w14:paraId="78E6D682" w14:textId="2D69DD28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>Planejamento ineficiente, Programa sem objetivo mensurável, sendo suas metas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expressas em percentuais, sem informação do quantitativo sobre o qual devem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ser aplicados; não houve implementação do serviço social na rede pública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escolar, não oferece educação em tempo integral em, no mínimo 50% das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escolas públicas; ausência de comprovação do acompanhamento do censo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escolar e da proposta orçamentária anual pelo CACS; irregularidades na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manutenção das escolas visitadas; falhas no transporte escolar;</w:t>
      </w:r>
    </w:p>
    <w:p w14:paraId="4C56980C" w14:textId="6B9C611C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 xml:space="preserve">•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Execução das Políticas Públicas da Saúde, Ambientais, de Infraestrutura e</w:t>
      </w:r>
      <w:r w:rsidR="006F51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de Tecnologia da Informação:</w:t>
      </w:r>
    </w:p>
    <w:p w14:paraId="3113EEE9" w14:textId="3D49F5D1" w:rsidR="00B15713" w:rsidRPr="00B15713" w:rsidRDefault="006F518B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15713" w:rsidRPr="00B15713">
        <w:rPr>
          <w:rFonts w:ascii="Times New Roman" w:hAnsi="Times New Roman" w:cs="Times New Roman"/>
          <w:sz w:val="24"/>
          <w:szCs w:val="24"/>
        </w:rPr>
        <w:t>iversos apontamentos que denotam potencial comprometimento dos serviços;</w:t>
      </w:r>
    </w:p>
    <w:p w14:paraId="64C11F5C" w14:textId="77777777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 xml:space="preserve">• </w:t>
      </w:r>
      <w:r w:rsidRPr="00B15713">
        <w:rPr>
          <w:rFonts w:ascii="Times New Roman" w:hAnsi="Times New Roman" w:cs="Times New Roman"/>
          <w:b/>
          <w:bCs/>
          <w:sz w:val="24"/>
          <w:szCs w:val="24"/>
        </w:rPr>
        <w:t>Recursos Humanos</w:t>
      </w:r>
      <w:r w:rsidRPr="00B15713">
        <w:rPr>
          <w:rFonts w:ascii="Times New Roman" w:hAnsi="Times New Roman" w:cs="Times New Roman"/>
          <w:sz w:val="24"/>
          <w:szCs w:val="24"/>
        </w:rPr>
        <w:t>:</w:t>
      </w:r>
    </w:p>
    <w:p w14:paraId="5CAC886D" w14:textId="3C448E44" w:rsidR="00B15713" w:rsidRDefault="00B15713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713">
        <w:rPr>
          <w:rFonts w:ascii="Times New Roman" w:hAnsi="Times New Roman" w:cs="Times New Roman"/>
          <w:sz w:val="24"/>
          <w:szCs w:val="24"/>
        </w:rPr>
        <w:t>Pagamento habitual de horas extraordinárias; pagamento de adicional de nível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universitário aos ocupantes de cargos que já exigem formação de nível superior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 xml:space="preserve">como </w:t>
      </w:r>
      <w:r w:rsidRPr="00B15713">
        <w:rPr>
          <w:rFonts w:ascii="Times New Roman" w:hAnsi="Times New Roman" w:cs="Times New Roman"/>
          <w:sz w:val="24"/>
          <w:szCs w:val="24"/>
        </w:rPr>
        <w:lastRenderedPageBreak/>
        <w:t>requisito de ingresso, cargos comissionados sem as características de</w:t>
      </w:r>
      <w:r w:rsidR="006F518B">
        <w:rPr>
          <w:rFonts w:ascii="Times New Roman" w:hAnsi="Times New Roman" w:cs="Times New Roman"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sz w:val="24"/>
          <w:szCs w:val="24"/>
        </w:rPr>
        <w:t>chefia, direção e assessoramento.</w:t>
      </w:r>
    </w:p>
    <w:p w14:paraId="0F26BC35" w14:textId="05C47441" w:rsidR="009872D0" w:rsidRPr="00C37844" w:rsidRDefault="009872D0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844">
        <w:rPr>
          <w:rFonts w:ascii="Times New Roman" w:hAnsi="Times New Roman" w:cs="Times New Roman"/>
          <w:sz w:val="24"/>
          <w:szCs w:val="24"/>
        </w:rPr>
        <w:t>Por fim, o julgamento, pelo Tribunal de Contas do Estado de São Paulo, deu-se no seguinte sentido:</w:t>
      </w:r>
    </w:p>
    <w:p w14:paraId="7101E5FD" w14:textId="11856310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5713">
        <w:rPr>
          <w:rFonts w:ascii="Times New Roman" w:hAnsi="Times New Roman" w:cs="Times New Roman"/>
          <w:i/>
          <w:iCs/>
          <w:sz w:val="24"/>
          <w:szCs w:val="24"/>
        </w:rPr>
        <w:t>As contas da PREFEITURA MUNICIPAL DE PEDRA BELA,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relativas ao exercício de 2022, podem ser aprovadas, diante da análise dos pontos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essenciais da gestão, sendo as falhas passíveis de relevação.</w:t>
      </w:r>
    </w:p>
    <w:p w14:paraId="1EEB3988" w14:textId="1EFC26EB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5713">
        <w:rPr>
          <w:rFonts w:ascii="Times New Roman" w:hAnsi="Times New Roman" w:cs="Times New Roman"/>
          <w:i/>
          <w:iCs/>
          <w:sz w:val="24"/>
          <w:szCs w:val="24"/>
        </w:rPr>
        <w:t>Houve o atendimento aos mandamentos constitucionais e legais,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referentes às despesas com Ensino, Precatórios, Encargos Sociais e Saúde, bem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como a observância aos limites de Gastos com Pessoal, Transferência de Recursos ao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Legislativo.</w:t>
      </w:r>
    </w:p>
    <w:p w14:paraId="65D1CB0A" w14:textId="4169D2B8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5713">
        <w:rPr>
          <w:rFonts w:ascii="Times New Roman" w:hAnsi="Times New Roman" w:cs="Times New Roman"/>
          <w:i/>
          <w:iCs/>
          <w:sz w:val="24"/>
          <w:szCs w:val="24"/>
        </w:rPr>
        <w:t>Da mesma forma foi atestada a regularidade na aplicação dos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recursos recebido do FUNDEB, com respeito ao estabelecido para a valorização dos</w:t>
      </w:r>
      <w:r w:rsidR="006F518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profissionais da educação básica em efetivo exercício1.</w:t>
      </w:r>
    </w:p>
    <w:p w14:paraId="5DAC22E4" w14:textId="2199B949" w:rsidR="00B15713" w:rsidRPr="00B15713" w:rsidRDefault="00B15713" w:rsidP="00B15713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15713">
        <w:rPr>
          <w:rFonts w:ascii="Times New Roman" w:hAnsi="Times New Roman" w:cs="Times New Roman"/>
          <w:i/>
          <w:iCs/>
          <w:sz w:val="24"/>
          <w:szCs w:val="24"/>
        </w:rPr>
        <w:t>Em que pese o atendimento aos índices, há impropriedades</w:t>
      </w:r>
      <w:r w:rsidR="006F518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5713">
        <w:rPr>
          <w:rFonts w:ascii="Times New Roman" w:hAnsi="Times New Roman" w:cs="Times New Roman"/>
          <w:i/>
          <w:iCs/>
          <w:sz w:val="24"/>
          <w:szCs w:val="24"/>
        </w:rPr>
        <w:t>recorrentes nas principais áreas:</w:t>
      </w:r>
    </w:p>
    <w:p w14:paraId="36E0F9B8" w14:textId="77777777" w:rsidR="00B15713" w:rsidRPr="006F518B" w:rsidRDefault="00B15713" w:rsidP="00B15713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Educação</w:t>
      </w:r>
    </w:p>
    <w:p w14:paraId="06EEF8C6" w14:textId="57AF2A0D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A despeito da pequena evolução na nota do 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i-</w:t>
      </w:r>
      <w:proofErr w:type="spellStart"/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Educ</w:t>
      </w:r>
      <w:proofErr w:type="spellEnd"/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recomendo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ao Gestor Público que tenha como foco melhorar as práticas educacionais nas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instituições de ensino, com desenvolvimento de processos pedagógicos significativos,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ações para valorização dos professores, investimentos na estrutura das escolas, de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forma que obtenham os Autos de Vistoria do Corpo de Bombeiros, bem como 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transporte escolar.</w:t>
      </w:r>
    </w:p>
    <w:p w14:paraId="5D08ABE0" w14:textId="53DAAB53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A fiscalização enfatizou que, ainda o gasto anual por aluno tenha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aumento em 3398%, isso não refletiu nos resultados alcançados, revelando 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necessidade de planejamento eficaz no ensino municipal, reiterando 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recomendações realizadas nos exercícios de 2020 e 2021.</w:t>
      </w:r>
    </w:p>
    <w:p w14:paraId="0EB7BA81" w14:textId="5EFA68C0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Saúde</w:t>
      </w:r>
    </w:p>
    <w:p w14:paraId="34814C84" w14:textId="4F77A2F0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Embora tenha havido evolução e alcançado a nota “B” (efetivo), 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fiscalização relatou que o município não vem atingindo a meta vacinal e que algumas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unidades de saúde não possuem 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AVCB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, devendo o Administrador Público adotar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medidas corretivas.</w:t>
      </w:r>
    </w:p>
    <w:p w14:paraId="50973A5E" w14:textId="28B9D4C7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Ambiental</w:t>
      </w:r>
    </w:p>
    <w:p w14:paraId="041D43D3" w14:textId="37EF5A90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Verifica-se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 a série histórica na pior nota, revelando estagnação,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resultado do descumprimento das metas estabelecidas no Plano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Municipal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 de Gestão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Integrada de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lastRenderedPageBreak/>
        <w:t>Resíduos, cumpre a Administração a adoção de medidas eficazes 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sentido de reverter esta situação.</w:t>
      </w:r>
    </w:p>
    <w:p w14:paraId="2FC62037" w14:textId="7388FA25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 xml:space="preserve">Apesar da discreta evolução no 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IEG-M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para a nota “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C+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”3 (em fase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de adequação) cabe ao gestor público envidar esforços para a solução dos problemas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das respectivas áreas conforme mencionado.</w:t>
      </w:r>
    </w:p>
    <w:p w14:paraId="4DF023ED" w14:textId="77777777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Nos aspectos econômico, orçamentário e financeiro</w:t>
      </w:r>
    </w:p>
    <w:p w14:paraId="0F998992" w14:textId="3D278C54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A Municipalidade obteve superávit orçamentário de 1,17%, com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reflexo nos resultados abaixo demonstrados:</w:t>
      </w:r>
    </w:p>
    <w:p w14:paraId="439C0324" w14:textId="410E8616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Quanto ao pagamento das obrigações judiciais há a informação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de que a municipalidade está enquadrada no Regime Ordinário de Pagamento de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Precatórios, sendo atestada a suficiência dos depósitos do exercício.</w:t>
      </w:r>
    </w:p>
    <w:p w14:paraId="7BFC20B1" w14:textId="77777777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Observa-se a quitação dos requisitórios de baixa monta.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162E47E" w14:textId="3FF9C0AF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No que se refere ao excesso de horas extras de forma habitual, 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Municipalidade deve tomar providências para organizar os serviços, de forma que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ocorra a redução no pagamento de horas extraordinárias, que são para situações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excepcionais e justificadas. E, ainda, atentar para a importância do controle de horas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trabalhadas para evitar demandas judiciais e passivo trabalhista.</w:t>
      </w:r>
    </w:p>
    <w:p w14:paraId="326BB46E" w14:textId="2099D678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As demais impropriedades serão alçadas ao campo das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recomendações e serão acompanhadas pela fiscalização.</w:t>
      </w:r>
    </w:p>
    <w:p w14:paraId="1CED274C" w14:textId="113DB116" w:rsidR="006F518B" w:rsidRP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Advirto ao administrador público que a reincidência sistemática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das falhas poderá ensejar o juízo desfavorável das contas futuras, bem como sujeitá-lo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às sanções previstas no artigo 104 da Lei Complementar nº 709/93.</w:t>
      </w:r>
    </w:p>
    <w:p w14:paraId="63D43711" w14:textId="2E5DA41F" w:rsidR="006F518B" w:rsidRDefault="006F518B" w:rsidP="006F518B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518B">
        <w:rPr>
          <w:rFonts w:ascii="Times New Roman" w:hAnsi="Times New Roman" w:cs="Times New Roman"/>
          <w:i/>
          <w:iCs/>
          <w:sz w:val="24"/>
          <w:szCs w:val="24"/>
        </w:rPr>
        <w:t>Ante o exposto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VOTO PELA EMISSÃO DE PARECER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FAVORÁVEL ÀS CONTAS DA PREFEITURA MUNICIPAL DE PEDRA BELA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F518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RELATIVAS AO EXERCÍCIO DE 2022, </w:t>
      </w:r>
      <w:r w:rsidRPr="006F518B">
        <w:rPr>
          <w:rFonts w:ascii="Times New Roman" w:hAnsi="Times New Roman" w:cs="Times New Roman"/>
          <w:i/>
          <w:iCs/>
          <w:sz w:val="24"/>
          <w:szCs w:val="24"/>
        </w:rPr>
        <w:t>excetuados os atos pendentes de apreciação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por este Tribunal </w:t>
      </w:r>
    </w:p>
    <w:p w14:paraId="04F18D32" w14:textId="75F0EDD5" w:rsidR="00DB7F74" w:rsidRPr="00C37844" w:rsidRDefault="00AF37C9" w:rsidP="00B1571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7844">
        <w:rPr>
          <w:rFonts w:ascii="Times New Roman" w:hAnsi="Times New Roman" w:cs="Times New Roman"/>
          <w:sz w:val="24"/>
          <w:szCs w:val="24"/>
        </w:rPr>
        <w:t>Após a síntese acima, p</w:t>
      </w:r>
      <w:r w:rsidR="00DB7F74" w:rsidRPr="00C37844">
        <w:rPr>
          <w:rFonts w:ascii="Times New Roman" w:hAnsi="Times New Roman" w:cs="Times New Roman"/>
          <w:sz w:val="24"/>
          <w:szCs w:val="24"/>
        </w:rPr>
        <w:t>assa-se</w:t>
      </w:r>
      <w:r w:rsidR="0050324F" w:rsidRPr="00C37844">
        <w:rPr>
          <w:rFonts w:ascii="Times New Roman" w:hAnsi="Times New Roman" w:cs="Times New Roman"/>
          <w:sz w:val="24"/>
          <w:szCs w:val="24"/>
        </w:rPr>
        <w:t>, então,</w:t>
      </w:r>
      <w:r w:rsidR="00DB7F74" w:rsidRPr="00C37844">
        <w:rPr>
          <w:rFonts w:ascii="Times New Roman" w:hAnsi="Times New Roman" w:cs="Times New Roman"/>
          <w:sz w:val="24"/>
          <w:szCs w:val="24"/>
        </w:rPr>
        <w:t xml:space="preserve"> à análise</w:t>
      </w:r>
      <w:r w:rsidR="009872D0" w:rsidRPr="00C37844">
        <w:rPr>
          <w:rFonts w:ascii="Times New Roman" w:hAnsi="Times New Roman" w:cs="Times New Roman"/>
          <w:sz w:val="24"/>
          <w:szCs w:val="24"/>
        </w:rPr>
        <w:t>, por esta Comissão.</w:t>
      </w:r>
    </w:p>
    <w:p w14:paraId="41C262D9" w14:textId="77777777" w:rsidR="00D8559B" w:rsidRPr="00C37844" w:rsidRDefault="00D8559B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acordo com o art. 262, do Regimento Interno, </w:t>
      </w:r>
      <w:r w:rsidR="00D775D9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controle externo de fiscalização financeira e orçamentária será exercido pela Câmara Municipal, com o auxílio do Tribunal de Contas competente.</w:t>
      </w:r>
    </w:p>
    <w:p w14:paraId="5956F4B3" w14:textId="77777777" w:rsidR="00D8559B" w:rsidRPr="00C37844" w:rsidRDefault="00D8559B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 art. 97</w:t>
      </w:r>
      <w:r w:rsidR="00FC19C6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II, g, do Regimento Interno, estabelece que cabe a esta Comissão, examinar e emitir parecer sobre os pareceres prévios do Tribunal de Contas do Estado, relativos à prestação de contas do Prefeito. </w:t>
      </w:r>
    </w:p>
    <w:p w14:paraId="77F65702" w14:textId="77777777" w:rsidR="00FC19C6" w:rsidRPr="00C37844" w:rsidRDefault="00FC19C6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O art. 203, do Regimento, diz que Projeto de Decreto Legislativo é a proposição de competência privativa da Câmara, que excede os limites de sua economia interna, não sujeita à sanção do Prefeito e cuja promulgação compete ao Presidente da Câmara.</w:t>
      </w:r>
    </w:p>
    <w:p w14:paraId="4074DBB7" w14:textId="77777777" w:rsidR="00FC19C6" w:rsidRPr="00C37844" w:rsidRDefault="00FC19C6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Nesse mesmo sentido, o § 1º, III, do mesmo artigo, reza ser matéria de Projeto de Decreto Legislativo aprovação e rejeição das contas do Prefeito. Ainda, é de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competência desta Comissão de Finanças e Orçamento a apresentação desse projeto de Decreto Legislativo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5E1DDC36" w14:textId="77777777" w:rsidR="00FC19C6" w:rsidRPr="00C37844" w:rsidRDefault="00FC19C6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Em caso de rejeição do parecer prévio, é necessário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maioria qualificada (2/3)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como ordena o art. 51, § 2º, I, do Regimento Interno e art. 241, § 4º, </w:t>
      </w:r>
      <w:r w:rsidRPr="00C37844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b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também do Regimento.</w:t>
      </w:r>
    </w:p>
    <w:p w14:paraId="3A95F090" w14:textId="77777777" w:rsidR="00FC19C6" w:rsidRPr="00C37844" w:rsidRDefault="00FC19C6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votação deverá ser nominal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nos termos do art. </w:t>
      </w:r>
      <w:r w:rsidR="00F22A1F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243, § 8º, I, do Regimento.</w:t>
      </w:r>
    </w:p>
    <w:p w14:paraId="253AA233" w14:textId="77777777" w:rsidR="00F22A1F" w:rsidRPr="00C37844" w:rsidRDefault="00F22A1F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discussão e votação dar-se-ão em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turno único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consoante o art. 230, parágrafo único, do Regimento Interno da Câmara.</w:t>
      </w:r>
    </w:p>
    <w:p w14:paraId="556D48DB" w14:textId="77777777" w:rsidR="00F22A1F" w:rsidRPr="00C37844" w:rsidRDefault="00F22A1F" w:rsidP="00D92086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Presidente da Câmara deverá votar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nos termos do art. 26, II, </w:t>
      </w:r>
      <w:r w:rsidRPr="00C37844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i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do Regimento.</w:t>
      </w:r>
    </w:p>
    <w:p w14:paraId="5C90DA97" w14:textId="37EF74A3" w:rsidR="00195187" w:rsidRPr="00C37844" w:rsidRDefault="00195187" w:rsidP="00195187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Nesse sentido,</w:t>
      </w:r>
      <w:r w:rsidR="00C24C6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872D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seguindo o posicionamento da</w:t>
      </w:r>
      <w:r w:rsidR="00C24C6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Corte de Contas,</w:t>
      </w:r>
      <w:r w:rsidR="009872D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exarado em parecer prévio,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opina-se pela aprovação das contas</w:t>
      </w:r>
      <w:r w:rsidR="004E629E"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 da Prefeitura Municipal de </w:t>
      </w:r>
      <w:r w:rsidR="005275E0"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Pe</w:t>
      </w:r>
      <w:r w:rsidR="004E629E"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dra Bela</w:t>
      </w:r>
      <w:r w:rsidR="004E629E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C24C6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E629E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exercício</w:t>
      </w:r>
      <w:r w:rsidR="00C24C6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 20</w:t>
      </w:r>
      <w:r w:rsidR="002B28A5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6F51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</w:t>
      </w:r>
      <w:r w:rsidR="00B35102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consequentemente,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pel</w:t>
      </w:r>
      <w:r w:rsidR="009872D0"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872D0"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acolhimento do parecer</w:t>
      </w:r>
      <w:r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 prévio</w:t>
      </w:r>
      <w:r w:rsidR="005275E0" w:rsidRPr="00C3784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 exarado no </w:t>
      </w:r>
      <w:r w:rsidR="002B28A5" w:rsidRPr="0086204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TC-</w:t>
      </w:r>
      <w:r w:rsidR="006F518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6F51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003966.989.22-00</w:t>
      </w:r>
    </w:p>
    <w:p w14:paraId="3C1EB550" w14:textId="77777777" w:rsidR="007F68C9" w:rsidRPr="00C37844" w:rsidRDefault="007F68C9" w:rsidP="00CA34D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1E8B78" w14:textId="039ED35A" w:rsidR="0003032A" w:rsidRPr="00C37844" w:rsidRDefault="0003032A" w:rsidP="006F518B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Pedra </w:t>
      </w:r>
      <w:r w:rsidR="006F518B"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>Bela,</w:t>
      </w:r>
      <w:r w:rsidR="006F5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/SP,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518B">
        <w:rPr>
          <w:rFonts w:ascii="Times New Roman" w:hAnsi="Times New Roman" w:cs="Times New Roman"/>
          <w:color w:val="000000" w:themeColor="text1"/>
          <w:sz w:val="24"/>
          <w:szCs w:val="24"/>
        </w:rPr>
        <w:t>12 de novembro de</w:t>
      </w:r>
      <w:r w:rsidRPr="00C378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AF2A7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F51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BD92010" w14:textId="77777777" w:rsidR="007F68C9" w:rsidRPr="00C37844" w:rsidRDefault="007F68C9" w:rsidP="00D9208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AAFD17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54BC4D78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56F4E6EF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4C3FB6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34D745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5A336E12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21299FC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1EAA0C2D" w14:textId="77777777" w:rsidR="00A527A8" w:rsidRPr="00096ADC" w:rsidRDefault="00A527A8" w:rsidP="00A527A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1B454F3E" w14:textId="77777777" w:rsidR="005C5F8A" w:rsidRPr="00C37844" w:rsidRDefault="005C5F8A" w:rsidP="00CA34D9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FDCAB3" w14:textId="77777777" w:rsidR="005C5F8A" w:rsidRPr="00C37844" w:rsidRDefault="005C5F8A" w:rsidP="00CA34D9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5C5F8A" w:rsidRPr="00C378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6C63A" w14:textId="77777777" w:rsidR="006E2E9E" w:rsidRDefault="006E2E9E" w:rsidP="008229A2">
      <w:pPr>
        <w:spacing w:after="0" w:line="240" w:lineRule="auto"/>
      </w:pPr>
      <w:r>
        <w:separator/>
      </w:r>
    </w:p>
  </w:endnote>
  <w:endnote w:type="continuationSeparator" w:id="0">
    <w:p w14:paraId="1466FA15" w14:textId="77777777" w:rsidR="006E2E9E" w:rsidRDefault="006E2E9E" w:rsidP="00822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9665F" w14:textId="77777777" w:rsidR="006E2E9E" w:rsidRDefault="006E2E9E" w:rsidP="008229A2">
      <w:pPr>
        <w:spacing w:after="0" w:line="240" w:lineRule="auto"/>
      </w:pPr>
      <w:r>
        <w:separator/>
      </w:r>
    </w:p>
  </w:footnote>
  <w:footnote w:type="continuationSeparator" w:id="0">
    <w:p w14:paraId="0F295F44" w14:textId="77777777" w:rsidR="006E2E9E" w:rsidRDefault="006E2E9E" w:rsidP="00822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024F1" w14:textId="77777777" w:rsidR="008229A2" w:rsidRDefault="008229A2">
    <w:pPr>
      <w:pStyle w:val="Cabealho"/>
    </w:pPr>
    <w:r>
      <w:rPr>
        <w:noProof/>
        <w:lang w:eastAsia="pt-BR"/>
      </w:rPr>
      <w:drawing>
        <wp:inline distT="0" distB="0" distL="0" distR="0" wp14:anchorId="7DB3C1F8" wp14:editId="742549FE">
          <wp:extent cx="5400040" cy="807149"/>
          <wp:effectExtent l="0" t="0" r="0" b="0"/>
          <wp:docPr id="1" name="Imagem 1" descr="D:\Pedra Bela\Documentos Diveros\Timbre - Câma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dra Bela\Documentos Diveros\Timbre - Câma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1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161C2D" w14:textId="77777777" w:rsidR="008229A2" w:rsidRDefault="008229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089"/>
    <w:rsid w:val="00023F14"/>
    <w:rsid w:val="0003032A"/>
    <w:rsid w:val="0005726F"/>
    <w:rsid w:val="000C1909"/>
    <w:rsid w:val="000E0977"/>
    <w:rsid w:val="00155508"/>
    <w:rsid w:val="00165E76"/>
    <w:rsid w:val="00182A9B"/>
    <w:rsid w:val="00195187"/>
    <w:rsid w:val="001E522F"/>
    <w:rsid w:val="002023A7"/>
    <w:rsid w:val="00214118"/>
    <w:rsid w:val="00224CF4"/>
    <w:rsid w:val="00286D65"/>
    <w:rsid w:val="002A0089"/>
    <w:rsid w:val="002B28A5"/>
    <w:rsid w:val="002C3D1A"/>
    <w:rsid w:val="002D51F7"/>
    <w:rsid w:val="002D55B2"/>
    <w:rsid w:val="003174AB"/>
    <w:rsid w:val="00321D02"/>
    <w:rsid w:val="00327EDC"/>
    <w:rsid w:val="00355A10"/>
    <w:rsid w:val="0036392D"/>
    <w:rsid w:val="00372F9C"/>
    <w:rsid w:val="003830F8"/>
    <w:rsid w:val="003A3649"/>
    <w:rsid w:val="003F559F"/>
    <w:rsid w:val="004A32F3"/>
    <w:rsid w:val="004E629E"/>
    <w:rsid w:val="0050324F"/>
    <w:rsid w:val="005275E0"/>
    <w:rsid w:val="005709A4"/>
    <w:rsid w:val="005A5E7D"/>
    <w:rsid w:val="005C5F8A"/>
    <w:rsid w:val="005D5AA8"/>
    <w:rsid w:val="005F2984"/>
    <w:rsid w:val="005F4900"/>
    <w:rsid w:val="005F7AE4"/>
    <w:rsid w:val="006029C9"/>
    <w:rsid w:val="00613949"/>
    <w:rsid w:val="00620EAA"/>
    <w:rsid w:val="00624DC9"/>
    <w:rsid w:val="006965C6"/>
    <w:rsid w:val="006C2198"/>
    <w:rsid w:val="006D4AC4"/>
    <w:rsid w:val="006E2E9E"/>
    <w:rsid w:val="006E6EED"/>
    <w:rsid w:val="006F518B"/>
    <w:rsid w:val="007251C3"/>
    <w:rsid w:val="0073578F"/>
    <w:rsid w:val="007632A3"/>
    <w:rsid w:val="00765832"/>
    <w:rsid w:val="0078644A"/>
    <w:rsid w:val="007C4AA8"/>
    <w:rsid w:val="007D1CBA"/>
    <w:rsid w:val="007E502C"/>
    <w:rsid w:val="007F68C9"/>
    <w:rsid w:val="0080606D"/>
    <w:rsid w:val="008229A2"/>
    <w:rsid w:val="00862048"/>
    <w:rsid w:val="008A312E"/>
    <w:rsid w:val="008B786F"/>
    <w:rsid w:val="008E0DE3"/>
    <w:rsid w:val="008F69FE"/>
    <w:rsid w:val="009872D0"/>
    <w:rsid w:val="009909B0"/>
    <w:rsid w:val="009C78B2"/>
    <w:rsid w:val="009C7C34"/>
    <w:rsid w:val="009D6F58"/>
    <w:rsid w:val="009E5892"/>
    <w:rsid w:val="00A07698"/>
    <w:rsid w:val="00A17131"/>
    <w:rsid w:val="00A179F2"/>
    <w:rsid w:val="00A527A8"/>
    <w:rsid w:val="00AA421A"/>
    <w:rsid w:val="00AC7767"/>
    <w:rsid w:val="00AF25E1"/>
    <w:rsid w:val="00AF2A7C"/>
    <w:rsid w:val="00AF37C9"/>
    <w:rsid w:val="00AF4699"/>
    <w:rsid w:val="00B11017"/>
    <w:rsid w:val="00B15713"/>
    <w:rsid w:val="00B35102"/>
    <w:rsid w:val="00BB2A5A"/>
    <w:rsid w:val="00C12052"/>
    <w:rsid w:val="00C24C60"/>
    <w:rsid w:val="00C354B2"/>
    <w:rsid w:val="00C37844"/>
    <w:rsid w:val="00C52708"/>
    <w:rsid w:val="00CA34D9"/>
    <w:rsid w:val="00CF7F27"/>
    <w:rsid w:val="00D00147"/>
    <w:rsid w:val="00D02337"/>
    <w:rsid w:val="00D136A6"/>
    <w:rsid w:val="00D46FEC"/>
    <w:rsid w:val="00D775D9"/>
    <w:rsid w:val="00D8559B"/>
    <w:rsid w:val="00D92086"/>
    <w:rsid w:val="00DB7F74"/>
    <w:rsid w:val="00DC69C3"/>
    <w:rsid w:val="00DE479D"/>
    <w:rsid w:val="00E109A1"/>
    <w:rsid w:val="00E26FE7"/>
    <w:rsid w:val="00E37F95"/>
    <w:rsid w:val="00E50A85"/>
    <w:rsid w:val="00E8695F"/>
    <w:rsid w:val="00ED2A29"/>
    <w:rsid w:val="00ED6C68"/>
    <w:rsid w:val="00EF3D93"/>
    <w:rsid w:val="00EF67F4"/>
    <w:rsid w:val="00F0327D"/>
    <w:rsid w:val="00F22A1F"/>
    <w:rsid w:val="00F46AD0"/>
    <w:rsid w:val="00F83693"/>
    <w:rsid w:val="00F87F9A"/>
    <w:rsid w:val="00FC19C6"/>
    <w:rsid w:val="00FD728D"/>
    <w:rsid w:val="00FE66B5"/>
    <w:rsid w:val="00FF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A678E"/>
  <w15:docId w15:val="{3FB1DD24-84ED-451A-A745-51396E4D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9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29A2"/>
  </w:style>
  <w:style w:type="paragraph" w:styleId="Rodap">
    <w:name w:val="footer"/>
    <w:basedOn w:val="Normal"/>
    <w:link w:val="RodapChar"/>
    <w:uiPriority w:val="99"/>
    <w:unhideWhenUsed/>
    <w:rsid w:val="008229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9A2"/>
  </w:style>
  <w:style w:type="paragraph" w:styleId="Textodebalo">
    <w:name w:val="Balloon Text"/>
    <w:basedOn w:val="Normal"/>
    <w:link w:val="TextodebaloChar"/>
    <w:uiPriority w:val="99"/>
    <w:semiHidden/>
    <w:unhideWhenUsed/>
    <w:rsid w:val="0082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9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1146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Jurídico</dc:creator>
  <cp:lastModifiedBy>camar</cp:lastModifiedBy>
  <cp:revision>10</cp:revision>
  <cp:lastPrinted>2021-09-21T22:38:00Z</cp:lastPrinted>
  <dcterms:created xsi:type="dcterms:W3CDTF">2022-11-05T22:46:00Z</dcterms:created>
  <dcterms:modified xsi:type="dcterms:W3CDTF">2024-11-12T17:04:00Z</dcterms:modified>
</cp:coreProperties>
</file>